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版本号：YCXM-202510720250710001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幼儿园设施设备采购项目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YCXM-2025107</w:t>
      </w:r>
      <w:r>
        <w:br/>
      </w:r>
      <w:r>
        <w:br/>
      </w:r>
      <w:r>
        <w:br/>
      </w:r>
    </w:p>
    <w:p>
      <w:pPr>
        <w:pStyle w:val="null3"/>
        <w:jc w:val="center"/>
        <w:outlineLvl w:val="2"/>
      </w:pPr>
      <w:r>
        <w:rPr>
          <w:rFonts w:ascii="仿宋_GB2312" w:hAnsi="仿宋_GB2312" w:cs="仿宋_GB2312" w:eastAsia="仿宋_GB2312"/>
          <w:sz w:val="28"/>
          <w:b/>
        </w:rPr>
        <w:t>西安市灞桥区第二幼儿园</w:t>
      </w:r>
    </w:p>
    <w:p>
      <w:pPr>
        <w:pStyle w:val="null3"/>
        <w:jc w:val="center"/>
        <w:outlineLvl w:val="2"/>
      </w:pPr>
      <w:r>
        <w:rPr>
          <w:rFonts w:ascii="仿宋_GB2312" w:hAnsi="仿宋_GB2312" w:cs="仿宋_GB2312" w:eastAsia="仿宋_GB2312"/>
          <w:sz w:val="28"/>
          <w:b/>
        </w:rPr>
        <w:t>陕西玥诚工程项目管理有限公司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陕西玥诚工程项目管理有限公司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西安市灞桥区第二幼儿园</w:t>
      </w:r>
      <w:r>
        <w:rPr>
          <w:rFonts w:ascii="仿宋_GB2312" w:hAnsi="仿宋_GB2312" w:cs="仿宋_GB2312" w:eastAsia="仿宋_GB2312"/>
        </w:rPr>
        <w:t>委托，拟对</w:t>
      </w:r>
      <w:r>
        <w:rPr>
          <w:rFonts w:ascii="仿宋_GB2312" w:hAnsi="仿宋_GB2312" w:cs="仿宋_GB2312" w:eastAsia="仿宋_GB2312"/>
        </w:rPr>
        <w:t>幼儿园设施设备采购项目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YCXM-2025107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幼儿园设施设备采购项目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本项目主要对园内生活设施、教学设施、办公设备、厨房设施设备、保健室设备、网络安全监控设备及图书等设备进行采购，满足园内日常教学及生活需求。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1、营业执照：①企业投标的：营业执照 ②事业单位投标的：事业单位法人证书 ③其他组织投标的：登记证书 ④个体工商户投标的：个体工商户营业执照</w:t>
      </w:r>
    </w:p>
    <w:p>
      <w:pPr>
        <w:pStyle w:val="null3"/>
      </w:pPr>
      <w:r>
        <w:rPr>
          <w:rFonts w:ascii="仿宋_GB2312" w:hAnsi="仿宋_GB2312" w:cs="仿宋_GB2312" w:eastAsia="仿宋_GB2312"/>
        </w:rPr>
        <w:t>2、资质证书：供应商需要具备出版物经营许可证</w:t>
      </w:r>
    </w:p>
    <w:p>
      <w:pPr>
        <w:pStyle w:val="null3"/>
      </w:pPr>
      <w:r>
        <w:rPr>
          <w:rFonts w:ascii="仿宋_GB2312" w:hAnsi="仿宋_GB2312" w:cs="仿宋_GB2312" w:eastAsia="仿宋_GB2312"/>
        </w:rPr>
        <w:t>3、身份证明：法定代表人授权书（附法定代表人、被授权人身份证复印件）（法定代表人直接参加投标，须提供法定代表人身份证明及身份证复印件）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4、财务状况报告：提供2023年度（或2024年度）经审计的财务报告，或提供投标截止时间前三个月内银行出具的资信证明，或信用担保机构出具的投标担保函（以上三种形式的资料提供任何一种即可）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5、税收缴纳证明：①投标人自 2024年6月1日以来已缴纳任意一个月完税凭证或税务机关开具的完税证明（任意税种） ②依法免税的应提供相关文件证明</w:t>
      </w:r>
    </w:p>
    <w:p>
      <w:pPr>
        <w:pStyle w:val="null3"/>
      </w:pPr>
      <w:r>
        <w:rPr>
          <w:rFonts w:ascii="仿宋_GB2312" w:hAnsi="仿宋_GB2312" w:cs="仿宋_GB2312" w:eastAsia="仿宋_GB2312"/>
        </w:rPr>
        <w:t>6、社保资金缴纳证明：①投标人自 2024年6月1日以来已缴存的任意一个月的社会保障资金缴存单据或社保机构开具的社会保险参保缴费情况证明 ②依法不需要缴纳社会保障资金的应提供相关文件证明</w:t>
      </w:r>
    </w:p>
    <w:p>
      <w:pPr>
        <w:pStyle w:val="null3"/>
      </w:pPr>
      <w:r>
        <w:rPr>
          <w:rFonts w:ascii="仿宋_GB2312" w:hAnsi="仿宋_GB2312" w:cs="仿宋_GB2312" w:eastAsia="仿宋_GB2312"/>
        </w:rPr>
        <w:t>7、投标声明书：参加本次采购活动前3年内，在政府采购经营活动中没有重大违法记录的书面声明</w:t>
      </w:r>
    </w:p>
    <w:p>
      <w:pPr>
        <w:pStyle w:val="null3"/>
      </w:pPr>
      <w:r>
        <w:rPr>
          <w:rFonts w:ascii="仿宋_GB2312" w:hAnsi="仿宋_GB2312" w:cs="仿宋_GB2312" w:eastAsia="仿宋_GB2312"/>
        </w:rPr>
        <w:t>8、履行合同所必需的设备和专业技术能力：供应商具备履行合同所必需的设备和专业技术能力</w:t>
      </w:r>
    </w:p>
    <w:p>
      <w:pPr>
        <w:pStyle w:val="null3"/>
      </w:pPr>
      <w:r>
        <w:rPr>
          <w:rFonts w:ascii="仿宋_GB2312" w:hAnsi="仿宋_GB2312" w:cs="仿宋_GB2312" w:eastAsia="仿宋_GB2312"/>
        </w:rPr>
        <w:t>9、信用承诺：通过“信用中国”网站（www.creditchina.gov.cn）和中国政府采购网（www.ccgp.gov.cn）查询申请人信用记录，被列入失信被执行人、重大税收违法失信主体、政府采购严重违法失信行为记录名单的单位将被拒绝参与本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西安市灞桥区第二幼儿园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西安市灞桥区柳虹路518号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西安市灞桥区第二幼儿园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029-89511269转8075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陕西玥诚工程项目管理有限公司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西安市雁塔区雁展路莱安中心T7栋10层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卞兴前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18066718602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代理服务费收费标准：采购代理服务费以中标金额为基数，参照国家计委颁发的《招标代理服务收费管理暂行办法》（计价格[2002]1980号）发改办价格[2003]857号文件有关规定下浮5%向中标供应商收取。 以上费用在中标通知书发出前由中标人一次性全额付清。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西安市灞桥区第二幼儿园</w:t>
      </w:r>
      <w:r>
        <w:rPr>
          <w:rFonts w:ascii="仿宋_GB2312" w:hAnsi="仿宋_GB2312" w:cs="仿宋_GB2312" w:eastAsia="仿宋_GB2312"/>
        </w:rPr>
        <w:t>和</w:t>
      </w:r>
      <w:r>
        <w:rPr>
          <w:rFonts w:ascii="仿宋_GB2312" w:hAnsi="仿宋_GB2312" w:cs="仿宋_GB2312" w:eastAsia="仿宋_GB2312"/>
        </w:rPr>
        <w:t>陕西玥诚工程项目管理有限公司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西安市灞桥区第二幼儿园</w:t>
      </w:r>
      <w:r>
        <w:rPr>
          <w:rFonts w:ascii="仿宋_GB2312" w:hAnsi="仿宋_GB2312" w:cs="仿宋_GB2312" w:eastAsia="仿宋_GB2312"/>
        </w:rPr>
        <w:t>负责解释。除上述招标文件内容，其他内容由</w:t>
      </w:r>
      <w:r>
        <w:rPr>
          <w:rFonts w:ascii="仿宋_GB2312" w:hAnsi="仿宋_GB2312" w:cs="仿宋_GB2312" w:eastAsia="仿宋_GB2312"/>
        </w:rPr>
        <w:t>陕西玥诚工程项目管理有限公司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西安市灞桥区第二幼儿园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详见验收单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联系人：卞兴前</w:t>
      </w:r>
    </w:p>
    <w:p>
      <w:pPr>
        <w:pStyle w:val="null3"/>
      </w:pPr>
      <w:r>
        <w:rPr>
          <w:rFonts w:ascii="仿宋_GB2312" w:hAnsi="仿宋_GB2312" w:cs="仿宋_GB2312" w:eastAsia="仿宋_GB2312"/>
        </w:rPr>
        <w:t>联系电话：18066718602</w:t>
      </w:r>
    </w:p>
    <w:p>
      <w:pPr>
        <w:pStyle w:val="null3"/>
      </w:pPr>
      <w:r>
        <w:rPr>
          <w:rFonts w:ascii="仿宋_GB2312" w:hAnsi="仿宋_GB2312" w:cs="仿宋_GB2312" w:eastAsia="仿宋_GB2312"/>
        </w:rPr>
        <w:t>地址：西安市雁塔区雁展路莱安中心T7栋10层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本项目主要对园内生活设施、教学设施、办公设备、厨房设施设备、保健室设备、网络安全监控设备及图书等设备进行采购，满足园内日常教学及生活需求。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其他办公室设备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标的名称：其他办公室设备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20"/>
              <w:jc w:val="both"/>
            </w:pPr>
            <w:r>
              <w:rPr>
                <w:rFonts w:ascii="仿宋_GB2312" w:hAnsi="仿宋_GB2312" w:cs="仿宋_GB2312" w:eastAsia="仿宋_GB2312"/>
                <w:sz w:val="21"/>
              </w:rPr>
              <w:t>本项目主要对园内生活设施、教学设施、办公设备、厨房设施设备、保健室设备、网络安全监控设备及图书等设备进行采购，满足园内日常教学及生活需求。</w:t>
            </w:r>
          </w:p>
          <w:p>
            <w:pPr>
              <w:pStyle w:val="null3"/>
              <w:jc w:val="both"/>
            </w:pPr>
            <w:r>
              <w:rPr>
                <w:rFonts w:ascii="仿宋_GB2312" w:hAnsi="仿宋_GB2312" w:cs="仿宋_GB2312" w:eastAsia="仿宋_GB2312"/>
                <w:sz w:val="24"/>
                <w:b/>
              </w:rPr>
              <w:t>二、服务要求</w:t>
            </w:r>
          </w:p>
          <w:p>
            <w:pPr>
              <w:pStyle w:val="null3"/>
              <w:ind w:firstLine="420"/>
              <w:jc w:val="both"/>
            </w:pPr>
            <w:r>
              <w:rPr>
                <w:rFonts w:ascii="仿宋_GB2312" w:hAnsi="仿宋_GB2312" w:cs="仿宋_GB2312" w:eastAsia="仿宋_GB2312"/>
                <w:sz w:val="21"/>
              </w:rPr>
              <w:t>采购货物均为全新品，要求符合国家标准、行业标准和清单要求，保证所供设备是正品品牌。在合同执行过程中需要供应商应执行的伴随服务的服务标准或应当履行的相关义务（以实际合同为准）。按照合同约定时间，按采购人指定地点提供货物，配合验收工作，提供的货物有质量保证，提交货物实施过程中的所有资料，以便采购人日后管理和维护。</w:t>
            </w:r>
          </w:p>
          <w:p>
            <w:pPr>
              <w:pStyle w:val="null3"/>
              <w:jc w:val="both"/>
            </w:pPr>
            <w:r>
              <w:rPr>
                <w:rFonts w:ascii="仿宋_GB2312" w:hAnsi="仿宋_GB2312" w:cs="仿宋_GB2312" w:eastAsia="仿宋_GB2312"/>
                <w:sz w:val="24"/>
                <w:b/>
              </w:rPr>
              <w:t>三、商务要求</w:t>
            </w:r>
          </w:p>
          <w:p>
            <w:pPr>
              <w:pStyle w:val="null3"/>
              <w:ind w:firstLine="420"/>
              <w:jc w:val="both"/>
            </w:pPr>
            <w:r>
              <w:rPr>
                <w:rFonts w:ascii="仿宋_GB2312" w:hAnsi="仿宋_GB2312" w:cs="仿宋_GB2312" w:eastAsia="仿宋_GB2312"/>
                <w:sz w:val="21"/>
              </w:rPr>
              <w:t>（一）、交货期限：自合同签订之日起</w:t>
            </w:r>
            <w:r>
              <w:rPr>
                <w:rFonts w:ascii="仿宋_GB2312" w:hAnsi="仿宋_GB2312" w:cs="仿宋_GB2312" w:eastAsia="仿宋_GB2312"/>
                <w:sz w:val="21"/>
              </w:rPr>
              <w:t>30 个日历日完成全部项目内容，并交付采购人验收合格。</w:t>
            </w:r>
          </w:p>
          <w:p>
            <w:pPr>
              <w:pStyle w:val="null3"/>
              <w:ind w:firstLine="420"/>
              <w:jc w:val="both"/>
            </w:pPr>
            <w:r>
              <w:rPr>
                <w:rFonts w:ascii="仿宋_GB2312" w:hAnsi="仿宋_GB2312" w:cs="仿宋_GB2312" w:eastAsia="仿宋_GB2312"/>
                <w:sz w:val="21"/>
              </w:rPr>
              <w:t>（二）、款项结算</w:t>
            </w:r>
          </w:p>
          <w:p>
            <w:pPr>
              <w:pStyle w:val="null3"/>
              <w:ind w:firstLine="630"/>
              <w:jc w:val="both"/>
            </w:pPr>
            <w:r>
              <w:rPr>
                <w:rFonts w:ascii="仿宋_GB2312" w:hAnsi="仿宋_GB2312" w:cs="仿宋_GB2312" w:eastAsia="仿宋_GB2312"/>
                <w:sz w:val="21"/>
              </w:rPr>
              <w:t>交货期之内供货，经采购人组织履约验收合格后，一次性付清全款。</w:t>
            </w:r>
          </w:p>
          <w:p>
            <w:pPr>
              <w:pStyle w:val="null3"/>
              <w:ind w:firstLine="420"/>
              <w:jc w:val="both"/>
            </w:pPr>
            <w:r>
              <w:rPr>
                <w:rFonts w:ascii="仿宋_GB2312" w:hAnsi="仿宋_GB2312" w:cs="仿宋_GB2312" w:eastAsia="仿宋_GB2312"/>
                <w:sz w:val="21"/>
              </w:rPr>
              <w:t>（三）、质量验收标准或规范</w:t>
            </w:r>
          </w:p>
          <w:p>
            <w:pPr>
              <w:pStyle w:val="null3"/>
              <w:ind w:firstLine="630"/>
              <w:jc w:val="both"/>
            </w:pPr>
            <w:r>
              <w:rPr>
                <w:rFonts w:ascii="仿宋_GB2312" w:hAnsi="仿宋_GB2312" w:cs="仿宋_GB2312" w:eastAsia="仿宋_GB2312"/>
                <w:sz w:val="21"/>
              </w:rPr>
              <w:t>产品符合国家质量检验标准或参考行业标准。</w:t>
            </w:r>
          </w:p>
          <w:p>
            <w:pPr>
              <w:pStyle w:val="null3"/>
              <w:ind w:firstLine="420"/>
              <w:jc w:val="both"/>
            </w:pPr>
            <w:r>
              <w:rPr>
                <w:rFonts w:ascii="仿宋_GB2312" w:hAnsi="仿宋_GB2312" w:cs="仿宋_GB2312" w:eastAsia="仿宋_GB2312"/>
                <w:sz w:val="21"/>
              </w:rPr>
              <w:t>（四）、违约责任</w:t>
            </w:r>
          </w:p>
          <w:p>
            <w:pPr>
              <w:pStyle w:val="null3"/>
              <w:ind w:firstLine="630"/>
              <w:jc w:val="both"/>
            </w:pPr>
            <w:r>
              <w:rPr>
                <w:rFonts w:ascii="仿宋_GB2312" w:hAnsi="仿宋_GB2312" w:cs="仿宋_GB2312" w:eastAsia="仿宋_GB2312"/>
                <w:sz w:val="21"/>
              </w:rPr>
              <w:t>因供应商原因，延迟交付使用超过</w:t>
            </w:r>
            <w:r>
              <w:rPr>
                <w:rFonts w:ascii="仿宋_GB2312" w:hAnsi="仿宋_GB2312" w:cs="仿宋_GB2312" w:eastAsia="仿宋_GB2312"/>
                <w:sz w:val="21"/>
              </w:rPr>
              <w:t>10日的，采购人按照合同价款的2%/天扣除合同款项。</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采购内容（规格和数量）（部分产品备注有上限价格的，不能超出上限价格，如若超出按废标处理）</w:t>
            </w:r>
          </w:p>
          <w:p>
            <w:pPr>
              <w:pStyle w:val="null3"/>
              <w:ind w:firstLine="723"/>
              <w:jc w:val="both"/>
            </w:pPr>
            <w:r>
              <w:rPr>
                <w:rFonts w:ascii="仿宋_GB2312" w:hAnsi="仿宋_GB2312" w:cs="仿宋_GB2312" w:eastAsia="仿宋_GB2312"/>
                <w:sz w:val="24"/>
                <w:b/>
              </w:rPr>
              <w:t>详见附件</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交货期之内供货，经采购人组织履约验收合格后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产品符合国家质量检验标准或参考行业标准。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中标人在领取中标通知书时提供壹套正本和贰套副本纸质投标文件，应通过专用制作软件直接打印，确保与电子投标文件保持一致，不允许修改和补充。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①企业投标的：营业执照 ②事业单位投标的：事业单位法人证书 ③其他组织投标的：登记证书 ④个体工商户投标的：个体工商户营业执照</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供应商需要具备出版物经营许可证</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提供2023年度（或2024年度）经审计的财务报告，或提供投标截止时间前三个月内银行出具的资信证明，或信用担保机构出具的投标担保函（以上三种形式的资料提供任何一种即可）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①投标人自 2024年6月1日以来已缴纳任意一个月完税凭证或税务机关开具的完税证明（任意税种） ②依法免税的应提供相关文件证明</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①投标人自 2024年6月1日以来已缴存的任意一个月的社会保障资金缴存单据或社保机构开具的社会保险参保缴费情况证明 ②依法不需要缴纳社会保障资金的应提供相关文件证明</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投标声明书</w:t>
            </w:r>
          </w:p>
        </w:tc>
        <w:tc>
          <w:tcPr>
            <w:tcW w:type="dxa" w:w="3322"/>
          </w:tcPr>
          <w:p>
            <w:pPr>
              <w:pStyle w:val="null3"/>
            </w:pPr>
            <w:r>
              <w:rPr>
                <w:rFonts w:ascii="仿宋_GB2312" w:hAnsi="仿宋_GB2312" w:cs="仿宋_GB2312" w:eastAsia="仿宋_GB2312"/>
              </w:rPr>
              <w:t>参加本次采购活动前3年内，在政府采购经营活动中没有重大违法记录的书面声明</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供应商具备履行合同所必需的设备和专业技术能力</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通过“信用中国”网站（www.creditchina.gov.cn）和中国政府采购网（www.ccgp.gov.cn）查询申请人信用记录，被列入失信被执行人、重大税收违法失信主体、政府采购严重违法失信行为记录名单的单位将被拒绝参与本项目。</w:t>
            </w:r>
          </w:p>
        </w:tc>
        <w:tc>
          <w:tcPr>
            <w:tcW w:type="dxa" w:w="1661"/>
          </w:tcPr>
          <w:p>
            <w:pPr>
              <w:pStyle w:val="null3"/>
            </w:pPr>
            <w:r>
              <w:rPr>
                <w:rFonts w:ascii="仿宋_GB2312" w:hAnsi="仿宋_GB2312" w:cs="仿宋_GB2312" w:eastAsia="仿宋_GB2312"/>
              </w:rPr>
              <w:t>投标函 投标文件封面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开标一览表 投标方案.docx 中小企业声明函 偏离表.docx 承诺书.docx 资格证明文件.docx 开标一览表及分项.docx 供应商概况.docx 其他事项.docx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投标方案.docx 投标函 中小企业声明函 残疾人福利性单位声明函 偏离表.docx 承诺书.docx 投标文件封面 资格证明文件.docx 监狱企业的证明文件 开标一览表及分项.docx 供应商概况.docx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只能有一个有效报价，不得提交选择性报价，且报价不超过文件规定的采购预算金额或最高限价</w:t>
            </w:r>
          </w:p>
        </w:tc>
        <w:tc>
          <w:tcPr>
            <w:tcW w:type="dxa" w:w="1661"/>
          </w:tcPr>
          <w:p>
            <w:pPr>
              <w:pStyle w:val="null3"/>
            </w:pPr>
            <w:r>
              <w:rPr>
                <w:rFonts w:ascii="仿宋_GB2312" w:hAnsi="仿宋_GB2312" w:cs="仿宋_GB2312" w:eastAsia="仿宋_GB2312"/>
              </w:rPr>
              <w:t>开标一览表 投标函 标的清单 投标文件封面 开标一览表及分项.docx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不存在本文件规定的任何一种情形</w:t>
            </w:r>
          </w:p>
        </w:tc>
        <w:tc>
          <w:tcPr>
            <w:tcW w:type="dxa" w:w="1661"/>
          </w:tcPr>
          <w:p>
            <w:pPr>
              <w:pStyle w:val="null3"/>
            </w:pPr>
            <w:r>
              <w:rPr>
                <w:rFonts w:ascii="仿宋_GB2312" w:hAnsi="仿宋_GB2312" w:cs="仿宋_GB2312" w:eastAsia="仿宋_GB2312"/>
              </w:rPr>
              <w:t>投标方案.docx 承诺书.docx 投标文件封面 资格证明文件.docx 供应商概况.docx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投标方案.docx 偏离表.docx 承诺书.docx 投标文件封面 资格证明文件.docx 供应商概况.docx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符合“采购需求”规定的服务范围和产品标的（如有）</w:t>
            </w:r>
          </w:p>
        </w:tc>
        <w:tc>
          <w:tcPr>
            <w:tcW w:type="dxa" w:w="1661"/>
          </w:tcPr>
          <w:p>
            <w:pPr>
              <w:pStyle w:val="null3"/>
            </w:pPr>
            <w:r>
              <w:rPr>
                <w:rFonts w:ascii="仿宋_GB2312" w:hAnsi="仿宋_GB2312" w:cs="仿宋_GB2312" w:eastAsia="仿宋_GB2312"/>
              </w:rPr>
              <w:t>偏离表.docx 投标文件封面 开标一览表及分项.docx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投标方案.docx 其他事项.docx 偏离表.docx 承诺书.docx 投标文件封面 资格证明文件.docx 开标一览表及分项.docx 供应商概况.docx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符合“投标人须知”的规定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交货方案</w:t>
            </w:r>
          </w:p>
        </w:tc>
        <w:tc>
          <w:tcPr>
            <w:tcW w:type="dxa" w:w="2492"/>
          </w:tcPr>
          <w:p>
            <w:pPr>
              <w:pStyle w:val="null3"/>
            </w:pPr>
            <w:r>
              <w:rPr>
                <w:rFonts w:ascii="仿宋_GB2312" w:hAnsi="仿宋_GB2312" w:cs="仿宋_GB2312" w:eastAsia="仿宋_GB2312"/>
              </w:rPr>
              <w:t>整体交货方案详细、全面、功能证明材料详尽、丰富，计20分，整体交货方案较详细、较全面、功能证明材料较详尽、丰富，计16分；整体交货方案基本详细、基本全面、功能证明材料基本详尽、丰富，计12分；交货方案粗略、简单计8分；交货方案不完整或合理性低很难满足该项目得4分；未提供交货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其他事项.docx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所投货物技术参数是否符合采购需求参数，技术指标完全满足采购需求技术参数要求得15分；带“▲”条款每负偏离一项扣2分，其他技术指标每负偏离一项扣1分，扣完为止。▲参数指标须提供佐证资料，包括但不限于产品检测报告、彩页、官网公告和功能截图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其他事项.docx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设备的质量证明文件，确保生产供应的设备无假货、水货、翻新货且无产权纠纷，并符合国内相关标准或行业标准，提供来源渠道合法的证明文件(包括但不限于销售协议、代理协议、原厂授权等)，每提供一种所投产品的来源渠道合法的证明文件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其他事项.docx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方案细致完整可行、描述条理清晰，内容齐全，得8分；方案较完整可行、描述条理较清晰，内容较齐全，针对性不高，得5分；方案基本完整、描述条理基本清晰，内容基本齐全，得3分；方案粗略简单，无针对性得1分。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其他事项.docx</w:t>
            </w:r>
          </w:p>
        </w:tc>
      </w:tr>
      <w:tr>
        <w:tc>
          <w:tcPr>
            <w:tcW w:type="dxa" w:w="831"/>
            <w:vMerge/>
          </w:tcPr>
          <w:p/>
        </w:tc>
        <w:tc>
          <w:tcPr>
            <w:tcW w:type="dxa" w:w="1661"/>
          </w:tcPr>
          <w:p>
            <w:pPr>
              <w:pStyle w:val="null3"/>
            </w:pPr>
            <w:r>
              <w:rPr>
                <w:rFonts w:ascii="仿宋_GB2312" w:hAnsi="仿宋_GB2312" w:cs="仿宋_GB2312" w:eastAsia="仿宋_GB2312"/>
              </w:rPr>
              <w:t>售后及培训</w:t>
            </w:r>
          </w:p>
        </w:tc>
        <w:tc>
          <w:tcPr>
            <w:tcW w:type="dxa" w:w="2492"/>
          </w:tcPr>
          <w:p>
            <w:pPr>
              <w:pStyle w:val="null3"/>
            </w:pPr>
            <w:r>
              <w:rPr>
                <w:rFonts w:ascii="仿宋_GB2312" w:hAnsi="仿宋_GB2312" w:cs="仿宋_GB2312" w:eastAsia="仿宋_GB2312"/>
              </w:rPr>
              <w:t>1、根据各供应商的售后服务承诺、维护保修计划进行评分，包括具体的售后服务内容、响应方式、响应时间、售后人员、故障服务管理、问题管理、设备返修管理、服务报告管理方面。 售后服务措施和承诺详细可行，满分5分，每缺少一项扣1分，扣完为止。 2、供应商提供的培训方案全面、完整、可行、有针对性。培训内容有层次，培训方式适当，能够保障使用单位能熟练操作维护和正常使用得5分；培训方案针对性及可行性较强得3分；培训方案一般得1分；无培训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其他事项.docx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供应商承诺能够积极响应采购人采购需求及使用后续问题解答、保证采购人正常教学的承诺。 承诺涵盖全面且承诺可行性强的得5分； 承诺较全面且承诺有一定可行性的得3分； 承诺粗略、简单的得1分； 未提供承诺不得分。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其他事项.docx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2022年 07月01日至今类似项目业绩，每提供1份得1分，最高得5分; 业绩证明(以合同为准，须在响应文件中附合同的扫描件加盖单位公章，)弄虚作假者，取消其成交资格。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其他事项.docx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所投产品为（优先）节能、环境标志产品，每提供一项加1分，满分2分。(须提供证明符合招标文件要求的证明材料。)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其他事项.docx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2.满足招标文件实质性要求且最低的投标报价为评标基准价，其价格分为满分30分。 3.投标报价得分=（评标基准价/投标报价）×30的公式计算得分。 4.投标报价不完整的，不进入评标基准价的计算，本项得0分。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开标一览表及分项.docx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开标一览表及分项.docx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详见附件：开标一览表及分项.docx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详见附件：其他事项.docx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