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版本号：KWX-2025-CS082220250822001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食品抽检及买样服务项目(二次)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KWX-2025-CS0822</w:t>
      </w:r>
      <w:r>
        <w:br/>
      </w:r>
      <w:r>
        <w:br/>
      </w:r>
      <w:r>
        <w:br/>
      </w:r>
    </w:p>
    <w:p>
      <w:pPr>
        <w:pStyle w:val="null3"/>
        <w:jc w:val="center"/>
        <w:outlineLvl w:val="2"/>
      </w:pPr>
      <w:r>
        <w:rPr>
          <w:rFonts w:ascii="仿宋_GB2312" w:hAnsi="仿宋_GB2312" w:cs="仿宋_GB2312" w:eastAsia="仿宋_GB2312"/>
          <w:sz w:val="28"/>
          <w:b/>
        </w:rPr>
        <w:t>西安市灞桥区市场监督管理局</w:t>
      </w:r>
    </w:p>
    <w:p>
      <w:pPr>
        <w:pStyle w:val="null3"/>
        <w:jc w:val="center"/>
        <w:outlineLvl w:val="2"/>
      </w:pPr>
      <w:r>
        <w:rPr>
          <w:rFonts w:ascii="仿宋_GB2312" w:hAnsi="仿宋_GB2312" w:cs="仿宋_GB2312" w:eastAsia="仿宋_GB2312"/>
          <w:sz w:val="28"/>
          <w:b/>
        </w:rPr>
        <w:t>陕西科旺兴建设项目管理有限公司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陕西科旺兴建设项目管理有限公司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西安市灞桥区市场监督管理局</w:t>
      </w:r>
      <w:r>
        <w:rPr>
          <w:rFonts w:ascii="仿宋_GB2312" w:hAnsi="仿宋_GB2312" w:cs="仿宋_GB2312" w:eastAsia="仿宋_GB2312"/>
        </w:rPr>
        <w:t>委托，拟对</w:t>
      </w:r>
      <w:r>
        <w:rPr>
          <w:rFonts w:ascii="仿宋_GB2312" w:hAnsi="仿宋_GB2312" w:cs="仿宋_GB2312" w:eastAsia="仿宋_GB2312"/>
        </w:rPr>
        <w:t>食品抽检及买样服务项目(二次)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KWX-2025-CS0822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食品抽检及买样服务项目(二次)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为实施年度食品安全监督抽检计划，对西安市灞桥区市场监督管理局食品安全开展抽检服务。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采购包1（食品检测及买样服务1）：属于专门面向中小企业采购。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营业执照：具有独立承担民事责任能力的企业法人、事业法人、其他组织或者自然人，企业法人应提供统一社会信用代码的营业执照；事业法人应提供统一社会信用代码证书；其他组织应提供合法证明文件；自然人提供身份证明文件；</w:t>
      </w:r>
    </w:p>
    <w:p>
      <w:pPr>
        <w:pStyle w:val="null3"/>
      </w:pPr>
      <w:r>
        <w:rPr>
          <w:rFonts w:ascii="仿宋_GB2312" w:hAnsi="仿宋_GB2312" w:cs="仿宋_GB2312" w:eastAsia="仿宋_GB2312"/>
        </w:rPr>
        <w:t>2、法定代表人授权书及被授权人身份证；法定代表人身份证明及身份证：法定代表人参加投标的，须提供法定代表人身份证明及本人身份证加盖公章的复印件；法定代表人授权他人参加投标的，须提供法定代表人授权委托书及被授权代表的身份证复印件。（非法人单位的负责人参照法定代表人提供相关资料）；</w:t>
      </w:r>
    </w:p>
    <w:p>
      <w:pPr>
        <w:pStyle w:val="null3"/>
      </w:pPr>
      <w:r>
        <w:rPr>
          <w:rFonts w:ascii="仿宋_GB2312" w:hAnsi="仿宋_GB2312" w:cs="仿宋_GB2312" w:eastAsia="仿宋_GB2312"/>
        </w:rPr>
        <w:t>3、财务状况报告：提供2023年或2024年度具有财务审计资质的单位出具的财务审计报告或基本存款账户开户银行出具的资信证明（附开户许可证或基本存款账户信息）；</w:t>
      </w:r>
    </w:p>
    <w:p>
      <w:pPr>
        <w:pStyle w:val="null3"/>
      </w:pPr>
      <w:r>
        <w:rPr>
          <w:rFonts w:ascii="仿宋_GB2312" w:hAnsi="仿宋_GB2312" w:cs="仿宋_GB2312" w:eastAsia="仿宋_GB2312"/>
        </w:rPr>
        <w:t>4、税收缴纳证明：提供2024年1月1日至开标截止日，任意一个月的纳税凭据，依法免税的应提供相关证明材料；</w:t>
      </w:r>
    </w:p>
    <w:p>
      <w:pPr>
        <w:pStyle w:val="null3"/>
      </w:pPr>
      <w:r>
        <w:rPr>
          <w:rFonts w:ascii="仿宋_GB2312" w:hAnsi="仿宋_GB2312" w:cs="仿宋_GB2312" w:eastAsia="仿宋_GB2312"/>
        </w:rPr>
        <w:t>5、社会保障资金缴纳证明：提供2024年1月1日至开标截止日，任意一个月的社会保障资金缴存单据或社保机构开具的社会保险参保缴费情况证明，依法不需要缴纳社会保障资金的应提供相关证明材料；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6、资质证书证明：供应商须提供检验检测机构资质认定证书CMA（证书附表包含食品)和农产品质量安全检测机构考核合格证书CATL；</w:t>
      </w:r>
    </w:p>
    <w:p>
      <w:pPr>
        <w:pStyle w:val="null3"/>
      </w:pPr>
      <w:r>
        <w:rPr>
          <w:rFonts w:ascii="仿宋_GB2312" w:hAnsi="仿宋_GB2312" w:cs="仿宋_GB2312" w:eastAsia="仿宋_GB2312"/>
        </w:rPr>
        <w:t>7、书面承诺：（1）.供应商提供具有履行本合同所必需的设备和专业技术能力的承诺； （2）.供应商提供所报平均批次价格应符合西安市平均标准，且不合格批次问题发现率不低于4%的书面承诺；</w:t>
      </w:r>
    </w:p>
    <w:p>
      <w:pPr>
        <w:pStyle w:val="null3"/>
      </w:pPr>
      <w:r>
        <w:rPr>
          <w:rFonts w:ascii="仿宋_GB2312" w:hAnsi="仿宋_GB2312" w:cs="仿宋_GB2312" w:eastAsia="仿宋_GB2312"/>
        </w:rPr>
        <w:t>8、没有重大违法记录的书面声明：供应商提供参加政府采购活动前3年内在经营活动中没有重大违法记录的书面声明；</w:t>
      </w:r>
    </w:p>
    <w:p>
      <w:pPr>
        <w:pStyle w:val="null3"/>
      </w:pPr>
      <w:r>
        <w:rPr>
          <w:rFonts w:ascii="仿宋_GB2312" w:hAnsi="仿宋_GB2312" w:cs="仿宋_GB2312" w:eastAsia="仿宋_GB2312"/>
        </w:rPr>
        <w:t>9、信用：供应商不得为“信用中国 (www.creditchina.gov.cn)”中重大税收违法失信主体的供应商，“中国执行信息公开网 (http://zxgk.court.gov.cn/shixin/)”中列入失信被执行人的供应商，不得为“中国政府采购网(www.ccgp.gov.cn)”政府采购严重违法失信行为记录名单中被财政部门禁止参加政府采购活动的供应商（提供网站截图，加盖供应商公章或电子章）；</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10、控股关系：单位负责人为同一人或者存在直接控股、管理关系的不同供应商，不得参加同一合同项下的政府采购活动。（提供书面声明，加盖供应商公章或电子章）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西安市灞桥区纺一路419号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西安市灞桥区市场监督管理局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029-83512315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陕西科旺兴建设项目管理有限公司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西安市灞桥区纺织城街道半坡国际广场1号楼3008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李嘉昕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18092700473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代理服务费收费标准：1.成交单位在领取成交通知书前，须向招标代理机构一次性支付成交服务费人民币伍仟元整。2. 代理服务费收款账户 账户名称：陕西科旺兴建设项目管理有限公司 账号：102883543914 开户行：中国银行股份有限公司西安自贸区支行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西安市灞桥区市场监督管理局</w:t>
      </w:r>
      <w:r>
        <w:rPr>
          <w:rFonts w:ascii="仿宋_GB2312" w:hAnsi="仿宋_GB2312" w:cs="仿宋_GB2312" w:eastAsia="仿宋_GB2312"/>
        </w:rPr>
        <w:t>和</w:t>
      </w:r>
      <w:r>
        <w:rPr>
          <w:rFonts w:ascii="仿宋_GB2312" w:hAnsi="仿宋_GB2312" w:cs="仿宋_GB2312" w:eastAsia="仿宋_GB2312"/>
        </w:rPr>
        <w:t>陕西科旺兴建设项目管理有限公司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陕西科旺兴建设项目管理有限公司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陕西科旺兴建设项目管理有限公司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联系人：李嘉昕</w:t>
      </w:r>
    </w:p>
    <w:p>
      <w:pPr>
        <w:pStyle w:val="null3"/>
      </w:pPr>
      <w:r>
        <w:rPr>
          <w:rFonts w:ascii="仿宋_GB2312" w:hAnsi="仿宋_GB2312" w:cs="仿宋_GB2312" w:eastAsia="仿宋_GB2312"/>
        </w:rPr>
        <w:t>联系电话：18092700473</w:t>
      </w:r>
    </w:p>
    <w:p>
      <w:pPr>
        <w:pStyle w:val="null3"/>
      </w:pPr>
      <w:r>
        <w:rPr>
          <w:rFonts w:ascii="仿宋_GB2312" w:hAnsi="仿宋_GB2312" w:cs="仿宋_GB2312" w:eastAsia="仿宋_GB2312"/>
        </w:rPr>
        <w:t>地址：西安市灞桥区纺织城街道半坡国际广场1号楼3008</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为实施年度食品安全监督抽检计划，对西安市灞桥区市场监督管理局食品安全开展抽检服务。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食品抽检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标的名称：食品抽检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color w:val="000000"/>
              </w:rPr>
              <w:t>一、项目概况</w:t>
            </w:r>
          </w:p>
          <w:p>
            <w:pPr>
              <w:pStyle w:val="null3"/>
              <w:ind w:firstLine="560"/>
              <w:jc w:val="left"/>
            </w:pPr>
            <w:r>
              <w:rPr>
                <w:rFonts w:ascii="仿宋_GB2312" w:hAnsi="仿宋_GB2312" w:cs="仿宋_GB2312" w:eastAsia="仿宋_GB2312"/>
                <w:sz w:val="28"/>
                <w:color w:val="000000"/>
              </w:rPr>
              <w:t>为实施年度食品安全监督抽检计划，对西安市灞桥区市场监督管理局食品安全开展抽检服务，</w:t>
            </w:r>
            <w:r>
              <w:rPr>
                <w:rFonts w:ascii="仿宋_GB2312" w:hAnsi="仿宋_GB2312" w:cs="仿宋_GB2312" w:eastAsia="仿宋_GB2312"/>
                <w:sz w:val="28"/>
                <w:color w:val="000000"/>
              </w:rPr>
              <w:t>拟通过非招标方式确定一家专业检测机构</w:t>
            </w:r>
            <w:r>
              <w:rPr>
                <w:rFonts w:ascii="仿宋_GB2312" w:hAnsi="仿宋_GB2312" w:cs="仿宋_GB2312" w:eastAsia="仿宋_GB2312"/>
                <w:sz w:val="28"/>
                <w:color w:val="000000"/>
              </w:rPr>
              <w:t>。</w:t>
            </w:r>
          </w:p>
          <w:p>
            <w:pPr>
              <w:pStyle w:val="null3"/>
              <w:jc w:val="center"/>
            </w:pPr>
            <w:r>
              <w:rPr>
                <w:rFonts w:ascii="仿宋_GB2312" w:hAnsi="仿宋_GB2312" w:cs="仿宋_GB2312" w:eastAsia="仿宋_GB2312"/>
                <w:sz w:val="28"/>
                <w:color w:val="000000"/>
              </w:rPr>
              <w:t>日常检测项目表</w:t>
            </w:r>
          </w:p>
          <w:tbl>
            <w:tblPr>
              <w:tblInd w:type="dxa" w:w="135"/>
              <w:tblBorders>
                <w:top w:val="none" w:color="000000" w:sz="4"/>
                <w:left w:val="none" w:color="000000" w:sz="4"/>
                <w:bottom w:val="none" w:color="000000" w:sz="4"/>
                <w:right w:val="none" w:color="000000" w:sz="4"/>
                <w:insideH w:val="none"/>
                <w:insideV w:val="none"/>
              </w:tblBorders>
            </w:tblPr>
            <w:tblGrid>
              <w:gridCol w:w="287"/>
              <w:gridCol w:w="1010"/>
              <w:gridCol w:w="286"/>
              <w:gridCol w:w="966"/>
            </w:tblGrid>
            <w:tr>
              <w:tc>
                <w:tcPr>
                  <w:tcW w:type="dxa" w:w="28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10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c>
                <w:tcPr>
                  <w:tcW w:type="dxa" w:w="2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9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6-苄基腺嘌呤</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氟苯尼考</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4-氯苯氧乙酸钠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磺胺类（总量）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恩诺沙星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地西泮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地塞米松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环丙氨嗪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挥发性盐基氮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丙溴磷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五氯酚酸钠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呋喃唑酮代谢物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克伦特罗</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呋喃西林代谢物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莱克多巴胺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呋喃妥因代谢物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沙丁胺醇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呋喃它酮代谢物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甲氧苄啶</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多西环素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替米考星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土霉素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四环素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甲硝唑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金霉素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金刚烷胺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林可霉素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倍他米松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甲氨基阿维菌素苯甲酸盐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尼卡巴嗪</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氧乐果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亚硫酸盐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氯氟氰菊酯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阿维菌素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总砷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喹乙醇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铅</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氯丙嗪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总汞</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噻虫胺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灭蝇胺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噻虫嗪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克百威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杀扑磷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吡虫啉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倍硫磷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孔雀石绿</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吡唑醚菌酯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敌敌畏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三氯杀螨醇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啶虫脒</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灭线磷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氟虫腈</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噻菌灵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甲拌磷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地美硝唑</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酸价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联苯菊酯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过氧化值</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二甲戊灵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黄曲霉毒素</w:t>
                  </w:r>
                  <w:r>
                    <w:rPr>
                      <w:rFonts w:ascii="仿宋_GB2312" w:hAnsi="仿宋_GB2312" w:cs="仿宋_GB2312" w:eastAsia="仿宋_GB2312"/>
                      <w:sz w:val="24"/>
                      <w:color w:val="000000"/>
                    </w:rPr>
                    <w:t>B1</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培氟沙星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水胺硫磷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组胺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氯唑磷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氯吡脲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霜霉威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苯并【</w:t>
                  </w:r>
                  <w:r>
                    <w:rPr>
                      <w:rFonts w:ascii="仿宋_GB2312" w:hAnsi="仿宋_GB2312" w:cs="仿宋_GB2312" w:eastAsia="仿宋_GB2312"/>
                      <w:sz w:val="24"/>
                      <w:color w:val="000000"/>
                    </w:rPr>
                    <w:t>a】芘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唑虫酰胺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玉米赤霉烯酮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多菌灵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赭曲霉毒素</w:t>
                  </w:r>
                  <w:r>
                    <w:rPr>
                      <w:rFonts w:ascii="仿宋_GB2312" w:hAnsi="仿宋_GB2312" w:cs="仿宋_GB2312" w:eastAsia="仿宋_GB2312"/>
                      <w:sz w:val="24"/>
                      <w:color w:val="000000"/>
                    </w:rPr>
                    <w:t>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西布曲明</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脱氧雪腐镰刀菌烯醇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乐果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过氧化苯甲酰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六六六</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脱氢乙酸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辛硫磷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苯甲酸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乙酰甲胺磷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山梨酸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腐霉利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糖精钠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溴氰菊酯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甜蜜素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毒死蜱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安赛蜜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苯醚甲环唑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菌落总数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腈菌唑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大肠菌群</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马拉硫磷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沙门氏菌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金黄色葡萄球菌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二氧化钛</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二氧化硫残留量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氯化钠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溶剂残留</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特丁基对苯二酚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亚铁氰化钾</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乙基麦芽酚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亚硝酸盐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极性组分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甲基异柳磷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铬</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氨基酸态氮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胭脂红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全氮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酸性橙</w:t>
                  </w:r>
                  <w:r>
                    <w:rPr>
                      <w:rFonts w:ascii="仿宋_GB2312" w:hAnsi="仿宋_GB2312" w:cs="仿宋_GB2312" w:eastAsia="仿宋_GB2312"/>
                      <w:sz w:val="24"/>
                      <w:color w:val="000000"/>
                    </w:rPr>
                    <w:t>II</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铵盐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商业无菌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对羟基苯甲酸酯类</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蛋白质</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总酸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非脂乳固体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三氯蔗糖</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酸度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罗丹明</w:t>
                  </w:r>
                  <w:r>
                    <w:rPr>
                      <w:rFonts w:ascii="仿宋_GB2312" w:hAnsi="仿宋_GB2312" w:cs="仿宋_GB2312" w:eastAsia="仿宋_GB2312"/>
                      <w:sz w:val="24"/>
                      <w:color w:val="000000"/>
                    </w:rPr>
                    <w:t>B</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脂肪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苏丹红</w:t>
                  </w:r>
                  <w:r>
                    <w:rPr>
                      <w:rFonts w:ascii="仿宋_GB2312" w:hAnsi="仿宋_GB2312" w:cs="仿宋_GB2312" w:eastAsia="仿宋_GB2312"/>
                      <w:sz w:val="24"/>
                      <w:color w:val="000000"/>
                    </w:rPr>
                    <w:t>I</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三聚氰胺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苏丹红</w:t>
                  </w:r>
                  <w:r>
                    <w:rPr>
                      <w:rFonts w:ascii="仿宋_GB2312" w:hAnsi="仿宋_GB2312" w:cs="仿宋_GB2312" w:eastAsia="仿宋_GB2312"/>
                      <w:sz w:val="24"/>
                      <w:color w:val="000000"/>
                    </w:rPr>
                    <w:t>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乳酸菌数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苏丹红</w:t>
                  </w:r>
                  <w:r>
                    <w:rPr>
                      <w:rFonts w:ascii="仿宋_GB2312" w:hAnsi="仿宋_GB2312" w:cs="仿宋_GB2312" w:eastAsia="仿宋_GB2312"/>
                      <w:sz w:val="24"/>
                      <w:color w:val="000000"/>
                    </w:rPr>
                    <w:t>Ⅲ</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霉菌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苏丹红</w:t>
                  </w:r>
                  <w:r>
                    <w:rPr>
                      <w:rFonts w:ascii="仿宋_GB2312" w:hAnsi="仿宋_GB2312" w:cs="仿宋_GB2312" w:eastAsia="仿宋_GB2312"/>
                      <w:sz w:val="24"/>
                      <w:color w:val="000000"/>
                    </w:rPr>
                    <w:t>IV</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酵母</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谷氨酸钠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展青霉素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罂粟碱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苋菜红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吗啡</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柠檬黄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可待因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日落黄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那可丁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亮蓝</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阿斯巴甜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茶多酚</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乙二胺四乙酸二钠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咖啡因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铝的残留量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狄氏剂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诱惑红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阴离子合成洗涤剂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赤藓红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百菌清</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水分（干燥失重）</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原麦汁浓度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单核细胞增生李斯特氏菌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溴酸盐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副溶血性弧菌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铜绿假单胞菌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酒精度</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电导率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耗氧量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氰化物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余氯（游离氯）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三氯甲烷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防腐剂混合使用时各自用量占其最大使用量的比例之和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沙拉沙星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相同色泽着色剂混合使用时各自用量占其最大使用量的比例之和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蔗糖分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甲基硫菌灵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还原糖分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偏硅酸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色值</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硒</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游离二氧化碳</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总糖分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溶解性总固体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不溶于水杂质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呈味核苷酸二钠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丙酸及其钠盐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丁基羟基茴香醚（</w:t>
                  </w:r>
                  <w:r>
                    <w:rPr>
                      <w:rFonts w:ascii="仿宋_GB2312" w:hAnsi="仿宋_GB2312" w:cs="仿宋_GB2312" w:eastAsia="仿宋_GB2312"/>
                      <w:sz w:val="24"/>
                      <w:color w:val="000000"/>
                    </w:rPr>
                    <w:t>BHA）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纳他霉素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二丁基羟基甲苯（</w:t>
                  </w:r>
                  <w:r>
                    <w:rPr>
                      <w:rFonts w:ascii="仿宋_GB2312" w:hAnsi="仿宋_GB2312" w:cs="仿宋_GB2312" w:eastAsia="仿宋_GB2312"/>
                      <w:sz w:val="24"/>
                      <w:color w:val="000000"/>
                    </w:rPr>
                    <w:t>BHT）</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格列齐特</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洛硝达唑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格列吡嗪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嗜渗酵母计数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格列本脲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10-羟基-2-癸烯酸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卡托普利</w:t>
                  </w:r>
                </w:p>
              </w:tc>
            </w:tr>
          </w:tbl>
          <w:p>
            <w:pPr>
              <w:pStyle w:val="null3"/>
              <w:jc w:val="center"/>
            </w:pPr>
            <w:r>
              <w:rPr>
                <w:rFonts w:ascii="仿宋_GB2312" w:hAnsi="仿宋_GB2312" w:cs="仿宋_GB2312" w:eastAsia="仿宋_GB2312"/>
                <w:sz w:val="28"/>
                <w:b/>
                <w:color w:val="000000"/>
              </w:rPr>
              <w:t>二、服务内容</w:t>
            </w:r>
          </w:p>
          <w:p>
            <w:pPr>
              <w:pStyle w:val="null3"/>
              <w:ind w:firstLine="560"/>
              <w:jc w:val="both"/>
            </w:pPr>
            <w:r>
              <w:rPr>
                <w:rFonts w:ascii="仿宋_GB2312" w:hAnsi="仿宋_GB2312" w:cs="仿宋_GB2312" w:eastAsia="仿宋_GB2312"/>
                <w:sz w:val="28"/>
                <w:color w:val="000000"/>
              </w:rPr>
              <w:t>按照委托人要求，依据相关法律法规提供食品检验检测，出具有效的检验报告，并对报告真实性负责。</w:t>
            </w:r>
          </w:p>
          <w:p>
            <w:pPr>
              <w:pStyle w:val="null3"/>
              <w:spacing w:before="315"/>
              <w:ind w:left="420"/>
              <w:jc w:val="both"/>
            </w:pPr>
            <w:r>
              <w:rPr>
                <w:rFonts w:ascii="仿宋_GB2312" w:hAnsi="仿宋_GB2312" w:cs="仿宋_GB2312" w:eastAsia="仿宋_GB2312"/>
                <w:sz w:val="28"/>
                <w:b/>
                <w:color w:val="000000"/>
              </w:rPr>
              <w:t>三、服务要求</w:t>
            </w:r>
          </w:p>
          <w:p>
            <w:pPr>
              <w:pStyle w:val="null3"/>
              <w:ind w:firstLine="560"/>
              <w:jc w:val="both"/>
            </w:pPr>
            <w:r>
              <w:rPr>
                <w:rFonts w:ascii="仿宋_GB2312" w:hAnsi="仿宋_GB2312" w:cs="仿宋_GB2312" w:eastAsia="仿宋_GB2312"/>
                <w:sz w:val="28"/>
                <w:color w:val="000000"/>
              </w:rPr>
              <w:t>1、服务期限：</w:t>
            </w:r>
            <w:r>
              <w:rPr>
                <w:rFonts w:ascii="仿宋_GB2312" w:hAnsi="仿宋_GB2312" w:cs="仿宋_GB2312" w:eastAsia="仿宋_GB2312"/>
                <w:sz w:val="28"/>
                <w:color w:val="000000"/>
              </w:rPr>
              <w:t>一</w:t>
            </w:r>
            <w:r>
              <w:rPr>
                <w:rFonts w:ascii="仿宋_GB2312" w:hAnsi="仿宋_GB2312" w:cs="仿宋_GB2312" w:eastAsia="仿宋_GB2312"/>
                <w:sz w:val="28"/>
                <w:color w:val="000000"/>
              </w:rPr>
              <w:t>年；</w:t>
            </w:r>
            <w:r>
              <w:rPr>
                <w:rFonts w:ascii="仿宋_GB2312" w:hAnsi="仿宋_GB2312" w:cs="仿宋_GB2312" w:eastAsia="仿宋_GB2312"/>
                <w:sz w:val="28"/>
                <w:color w:val="000000"/>
              </w:rPr>
              <w:t>采购预算：</w:t>
            </w:r>
            <w:r>
              <w:rPr>
                <w:rFonts w:ascii="仿宋_GB2312" w:hAnsi="仿宋_GB2312" w:cs="仿宋_GB2312" w:eastAsia="仿宋_GB2312"/>
                <w:sz w:val="28"/>
                <w:color w:val="000000"/>
              </w:rPr>
              <w:t>24万元</w:t>
            </w:r>
            <w:r>
              <w:rPr>
                <w:rFonts w:ascii="仿宋_GB2312" w:hAnsi="仿宋_GB2312" w:cs="仿宋_GB2312" w:eastAsia="仿宋_GB2312"/>
                <w:sz w:val="28"/>
                <w:color w:val="000000"/>
              </w:rPr>
              <w:t>；服务批次数量：</w:t>
            </w:r>
            <w:r>
              <w:rPr>
                <w:rFonts w:ascii="仿宋_GB2312" w:hAnsi="仿宋_GB2312" w:cs="仿宋_GB2312" w:eastAsia="仿宋_GB2312"/>
                <w:sz w:val="28"/>
                <w:color w:val="000000"/>
              </w:rPr>
              <w:t>由供应商根据各标段预算自定批次总数量（批次总数作为评判标准之一）</w:t>
            </w:r>
            <w:r>
              <w:rPr>
                <w:rFonts w:ascii="仿宋_GB2312" w:hAnsi="仿宋_GB2312" w:cs="仿宋_GB2312" w:eastAsia="仿宋_GB2312"/>
                <w:sz w:val="28"/>
                <w:color w:val="000000"/>
              </w:rPr>
              <w:t>，平均批次价格</w:t>
            </w:r>
            <w:r>
              <w:rPr>
                <w:rFonts w:ascii="仿宋_GB2312" w:hAnsi="仿宋_GB2312" w:cs="仿宋_GB2312" w:eastAsia="仿宋_GB2312"/>
                <w:sz w:val="28"/>
                <w:color w:val="000000"/>
              </w:rPr>
              <w:t>应符合西安市平均标准</w:t>
            </w:r>
            <w:r>
              <w:rPr>
                <w:rFonts w:ascii="仿宋_GB2312" w:hAnsi="仿宋_GB2312" w:cs="仿宋_GB2312" w:eastAsia="仿宋_GB2312"/>
                <w:sz w:val="28"/>
                <w:color w:val="000000"/>
              </w:rPr>
              <w:t>，且不合格批次问题发现率不低于</w:t>
            </w:r>
            <w:r>
              <w:rPr>
                <w:rFonts w:ascii="仿宋_GB2312" w:hAnsi="仿宋_GB2312" w:cs="仿宋_GB2312" w:eastAsia="仿宋_GB2312"/>
                <w:sz w:val="28"/>
                <w:color w:val="000000"/>
              </w:rPr>
              <w:t>4%。</w:t>
            </w:r>
          </w:p>
          <w:p>
            <w:pPr>
              <w:pStyle w:val="null3"/>
              <w:ind w:firstLine="420"/>
              <w:jc w:val="both"/>
            </w:pPr>
            <w:r>
              <w:rPr>
                <w:rFonts w:ascii="仿宋_GB2312" w:hAnsi="仿宋_GB2312" w:cs="仿宋_GB2312" w:eastAsia="仿宋_GB2312"/>
                <w:sz w:val="28"/>
                <w:color w:val="000000"/>
              </w:rPr>
              <w:t xml:space="preserve"> 2、能提供</w:t>
            </w:r>
            <w:r>
              <w:rPr>
                <w:rFonts w:ascii="仿宋_GB2312" w:hAnsi="仿宋_GB2312" w:cs="仿宋_GB2312" w:eastAsia="仿宋_GB2312"/>
                <w:sz w:val="28"/>
                <w:color w:val="000000"/>
              </w:rPr>
              <w:t>近两年在陕西省</w:t>
            </w:r>
            <w:r>
              <w:rPr>
                <w:rFonts w:ascii="仿宋_GB2312" w:hAnsi="仿宋_GB2312" w:cs="仿宋_GB2312" w:eastAsia="仿宋_GB2312"/>
                <w:sz w:val="28"/>
                <w:color w:val="000000"/>
              </w:rPr>
              <w:t>地区服务各区县问题发现率任务完成情况。</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、能提供高效抽检服务，全天提供</w:t>
            </w:r>
            <w:r>
              <w:rPr>
                <w:rFonts w:ascii="仿宋_GB2312" w:hAnsi="仿宋_GB2312" w:cs="仿宋_GB2312" w:eastAsia="仿宋_GB2312"/>
                <w:sz w:val="28"/>
                <w:color w:val="000000"/>
              </w:rPr>
              <w:t>24小时服务，能接受抽样工作委托，有专门团队负责配合采样；</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、有能满足采样、运输、检验等工作的车辆、设备等硬件；</w:t>
            </w:r>
          </w:p>
          <w:p>
            <w:pPr>
              <w:pStyle w:val="null3"/>
              <w:ind w:firstLine="560"/>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、不得将检验任务外包或分包给其他检测机构检验；</w:t>
            </w:r>
          </w:p>
          <w:p>
            <w:pPr>
              <w:pStyle w:val="null3"/>
              <w:ind w:firstLine="560"/>
              <w:jc w:val="both"/>
            </w:pPr>
            <w:r>
              <w:rPr>
                <w:rFonts w:ascii="仿宋_GB2312" w:hAnsi="仿宋_GB2312" w:cs="仿宋_GB2312" w:eastAsia="仿宋_GB2312"/>
                <w:sz w:val="28"/>
                <w:color w:val="000000"/>
              </w:rPr>
              <w:t>8</w:t>
            </w:r>
            <w:r>
              <w:rPr>
                <w:rFonts w:ascii="仿宋_GB2312" w:hAnsi="仿宋_GB2312" w:cs="仿宋_GB2312" w:eastAsia="仿宋_GB2312"/>
                <w:sz w:val="28"/>
                <w:color w:val="000000"/>
              </w:rPr>
              <w:t>、若投标人出具虚假、错误检验数据和结论，一经发现，立即取消合作资格；</w:t>
            </w:r>
          </w:p>
          <w:p>
            <w:pPr>
              <w:pStyle w:val="null3"/>
              <w:ind w:firstLine="560"/>
              <w:jc w:val="both"/>
            </w:pPr>
            <w:r>
              <w:rPr>
                <w:rFonts w:ascii="仿宋_GB2312" w:hAnsi="仿宋_GB2312" w:cs="仿宋_GB2312" w:eastAsia="仿宋_GB2312"/>
                <w:sz w:val="28"/>
                <w:color w:val="000000"/>
              </w:rPr>
              <w:t>9</w:t>
            </w:r>
            <w:r>
              <w:rPr>
                <w:rFonts w:ascii="仿宋_GB2312" w:hAnsi="仿宋_GB2312" w:cs="仿宋_GB2312" w:eastAsia="仿宋_GB2312"/>
                <w:sz w:val="28"/>
                <w:color w:val="000000"/>
              </w:rPr>
              <w:t>、须提供相关的业务咨询、报告分析等服务；</w:t>
            </w:r>
          </w:p>
          <w:p>
            <w:pPr>
              <w:pStyle w:val="null3"/>
              <w:ind w:firstLine="560"/>
              <w:jc w:val="both"/>
            </w:pPr>
            <w:r>
              <w:rPr>
                <w:rFonts w:ascii="仿宋_GB2312" w:hAnsi="仿宋_GB2312" w:cs="仿宋_GB2312" w:eastAsia="仿宋_GB2312"/>
                <w:sz w:val="28"/>
                <w:color w:val="000000"/>
              </w:rPr>
              <w:t>10</w:t>
            </w:r>
            <w:r>
              <w:rPr>
                <w:rFonts w:ascii="仿宋_GB2312" w:hAnsi="仿宋_GB2312" w:cs="仿宋_GB2312" w:eastAsia="仿宋_GB2312"/>
                <w:sz w:val="28"/>
                <w:color w:val="000000"/>
              </w:rPr>
              <w:t>、检验机构收到检品后</w:t>
            </w:r>
            <w:r>
              <w:rPr>
                <w:rFonts w:ascii="仿宋_GB2312" w:hAnsi="仿宋_GB2312" w:cs="仿宋_GB2312" w:eastAsia="仿宋_GB2312"/>
                <w:sz w:val="28"/>
                <w:color w:val="000000"/>
              </w:rPr>
              <w:t>15 个工作日出具检验报告。对于特殊、涉案样品的检验，3天出结果，7 天出报告；</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1</w:t>
            </w:r>
            <w:r>
              <w:rPr>
                <w:rFonts w:ascii="仿宋_GB2312" w:hAnsi="仿宋_GB2312" w:cs="仿宋_GB2312" w:eastAsia="仿宋_GB2312"/>
                <w:sz w:val="28"/>
                <w:color w:val="000000"/>
              </w:rPr>
              <w:t>、有完善的投诉受理机制，能够对委托检验人提出的异议做出有效回应；</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2</w:t>
            </w:r>
            <w:r>
              <w:rPr>
                <w:rFonts w:ascii="仿宋_GB2312" w:hAnsi="仿宋_GB2312" w:cs="仿宋_GB2312" w:eastAsia="仿宋_GB2312"/>
                <w:sz w:val="28"/>
                <w:color w:val="000000"/>
              </w:rPr>
              <w:t>、供应商检验检测项目未达到</w:t>
            </w:r>
            <w:r>
              <w:rPr>
                <w:rFonts w:ascii="仿宋_GB2312" w:hAnsi="仿宋_GB2312" w:cs="仿宋_GB2312" w:eastAsia="仿宋_GB2312"/>
                <w:sz w:val="28"/>
                <w:color w:val="000000"/>
              </w:rPr>
              <w:t>100%时，应</w:t>
            </w:r>
            <w:r>
              <w:rPr>
                <w:rFonts w:ascii="仿宋_GB2312" w:hAnsi="仿宋_GB2312" w:cs="仿宋_GB2312" w:eastAsia="仿宋_GB2312"/>
                <w:sz w:val="28"/>
                <w:color w:val="000000"/>
              </w:rPr>
              <w:t>按照《食品安全监督抽检实施细则（</w:t>
            </w:r>
            <w:r>
              <w:rPr>
                <w:rFonts w:ascii="仿宋_GB2312" w:hAnsi="仿宋_GB2312" w:cs="仿宋_GB2312" w:eastAsia="仿宋_GB2312"/>
                <w:sz w:val="28"/>
                <w:color w:val="000000"/>
              </w:rPr>
              <w:t>2025年版）》</w:t>
            </w:r>
            <w:r>
              <w:rPr>
                <w:rFonts w:ascii="仿宋_GB2312" w:hAnsi="仿宋_GB2312" w:cs="仿宋_GB2312" w:eastAsia="仿宋_GB2312"/>
                <w:sz w:val="28"/>
                <w:color w:val="000000"/>
              </w:rPr>
              <w:t>承诺其余项目在服务合同签订后</w:t>
            </w:r>
            <w:r>
              <w:rPr>
                <w:rFonts w:ascii="仿宋_GB2312" w:hAnsi="仿宋_GB2312" w:cs="仿宋_GB2312" w:eastAsia="仿宋_GB2312"/>
                <w:sz w:val="28"/>
                <w:color w:val="000000"/>
              </w:rPr>
              <w:t>2 个月内完成扩项，若成交后未能及时完成扩项</w:t>
            </w:r>
            <w:r>
              <w:rPr>
                <w:rFonts w:ascii="仿宋_GB2312" w:hAnsi="仿宋_GB2312" w:cs="仿宋_GB2312" w:eastAsia="仿宋_GB2312"/>
                <w:sz w:val="28"/>
                <w:color w:val="000000"/>
              </w:rPr>
              <w:t>以致影响到采购方正常抽检工作</w:t>
            </w:r>
            <w:r>
              <w:rPr>
                <w:rFonts w:ascii="仿宋_GB2312" w:hAnsi="仿宋_GB2312" w:cs="仿宋_GB2312" w:eastAsia="仿宋_GB2312"/>
                <w:sz w:val="28"/>
                <w:color w:val="000000"/>
              </w:rPr>
              <w:t>，</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有权终止合同；</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3</w:t>
            </w:r>
            <w:r>
              <w:rPr>
                <w:rFonts w:ascii="仿宋_GB2312" w:hAnsi="仿宋_GB2312" w:cs="仿宋_GB2312" w:eastAsia="仿宋_GB2312"/>
                <w:sz w:val="28"/>
                <w:color w:val="000000"/>
              </w:rPr>
              <w:t>、供应商成交后，承担对应项目的检测任务，应逐月完成当月任务，并当月汇总</w:t>
            </w:r>
            <w:r>
              <w:rPr>
                <w:rFonts w:ascii="仿宋_GB2312" w:hAnsi="仿宋_GB2312" w:cs="仿宋_GB2312" w:eastAsia="仿宋_GB2312"/>
                <w:sz w:val="28"/>
                <w:color w:val="000000"/>
              </w:rPr>
              <w:t>本月的抽检清单；</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4</w:t>
            </w:r>
            <w:r>
              <w:rPr>
                <w:rFonts w:ascii="仿宋_GB2312" w:hAnsi="仿宋_GB2312" w:cs="仿宋_GB2312" w:eastAsia="仿宋_GB2312"/>
                <w:sz w:val="28"/>
                <w:color w:val="000000"/>
              </w:rPr>
              <w:t>、承检机构要提高抽样靶向性，实施必要的质量控制措施，提高问题食品发现</w:t>
            </w:r>
            <w:r>
              <w:rPr>
                <w:rFonts w:ascii="仿宋_GB2312" w:hAnsi="仿宋_GB2312" w:cs="仿宋_GB2312" w:eastAsia="仿宋_GB2312"/>
                <w:sz w:val="28"/>
                <w:color w:val="000000"/>
              </w:rPr>
              <w:t>率（问题食品发现率不低于</w:t>
            </w:r>
            <w:r>
              <w:rPr>
                <w:rFonts w:ascii="仿宋_GB2312" w:hAnsi="仿宋_GB2312" w:cs="仿宋_GB2312" w:eastAsia="仿宋_GB2312"/>
                <w:sz w:val="28"/>
                <w:color w:val="000000"/>
              </w:rPr>
              <w:t>4</w:t>
            </w:r>
            <w:r>
              <w:rPr>
                <w:rFonts w:ascii="仿宋_GB2312" w:hAnsi="仿宋_GB2312" w:cs="仿宋_GB2312" w:eastAsia="仿宋_GB2312"/>
                <w:sz w:val="28"/>
                <w:color w:val="000000"/>
              </w:rPr>
              <w:t>%）。因承检机构严重影响我局阶段性监督抽检不合格率考核任务的，承检机构要立即整改，采取扩大抽样批次等切实有效的方法达我局</w:t>
            </w:r>
            <w:r>
              <w:rPr>
                <w:rFonts w:ascii="仿宋_GB2312" w:hAnsi="仿宋_GB2312" w:cs="仿宋_GB2312" w:eastAsia="仿宋_GB2312"/>
                <w:sz w:val="28"/>
                <w:color w:val="000000"/>
              </w:rPr>
              <w:t>4</w:t>
            </w:r>
            <w:r>
              <w:rPr>
                <w:rFonts w:ascii="仿宋_GB2312" w:hAnsi="仿宋_GB2312" w:cs="仿宋_GB2312" w:eastAsia="仿宋_GB2312"/>
                <w:sz w:val="28"/>
                <w:color w:val="000000"/>
              </w:rPr>
              <w:t>％的不合格率要求。若</w:t>
            </w:r>
            <w:r>
              <w:rPr>
                <w:rFonts w:ascii="仿宋_GB2312" w:hAnsi="仿宋_GB2312" w:cs="仿宋_GB2312" w:eastAsia="仿宋_GB2312"/>
                <w:sz w:val="28"/>
                <w:color w:val="000000"/>
              </w:rPr>
              <w:t>经过整改后还无法满足要求，</w:t>
            </w:r>
            <w:r>
              <w:rPr>
                <w:rFonts w:ascii="仿宋_GB2312" w:hAnsi="仿宋_GB2312" w:cs="仿宋_GB2312" w:eastAsia="仿宋_GB2312"/>
                <w:sz w:val="28"/>
                <w:color w:val="000000"/>
              </w:rPr>
              <w:t>采购方有权</w:t>
            </w:r>
            <w:r>
              <w:rPr>
                <w:rFonts w:ascii="仿宋_GB2312" w:hAnsi="仿宋_GB2312" w:cs="仿宋_GB2312" w:eastAsia="仿宋_GB2312"/>
                <w:sz w:val="28"/>
                <w:color w:val="000000"/>
              </w:rPr>
              <w:t>根据实际情况扣除相应费用。</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5</w:t>
            </w:r>
            <w:r>
              <w:rPr>
                <w:rFonts w:ascii="仿宋_GB2312" w:hAnsi="仿宋_GB2312" w:cs="仿宋_GB2312" w:eastAsia="仿宋_GB2312"/>
                <w:sz w:val="28"/>
                <w:color w:val="000000"/>
              </w:rPr>
              <w:t>、根据《陕西省市场监督管理局食品安全抽样检验备份样品处置办法》的规定，承检机构应配合</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做好合格备份样品的保存、销毁、捐赠等工作，并留存有关过程资料备查。</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6</w:t>
            </w:r>
            <w:r>
              <w:rPr>
                <w:rFonts w:ascii="仿宋_GB2312" w:hAnsi="仿宋_GB2312" w:cs="仿宋_GB2312" w:eastAsia="仿宋_GB2312"/>
                <w:sz w:val="28"/>
                <w:color w:val="000000"/>
              </w:rPr>
              <w:t>、根据《陕西省市场监督管理局食品安全抽检监测数据质量抽查工作方案（试行）》的要求，承检机构对录入国抽系统的数据质量负责，并配合</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开展数据质量抽查工作，及时处理检查发现的问题数据。对问题数据较多严重影响我局考核任务的承检机构，</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可采取约谈、责令整改、暂停抽检任务等方式给予督促整改。</w:t>
            </w:r>
          </w:p>
          <w:p>
            <w:pPr>
              <w:pStyle w:val="null3"/>
              <w:ind w:firstLine="560"/>
              <w:jc w:val="both"/>
            </w:pPr>
            <w:r>
              <w:rPr>
                <w:rFonts w:ascii="仿宋_GB2312" w:hAnsi="仿宋_GB2312" w:cs="仿宋_GB2312" w:eastAsia="仿宋_GB2312"/>
                <w:sz w:val="28"/>
                <w:color w:val="000000"/>
              </w:rPr>
              <w:t>17、根据《</w:t>
            </w:r>
            <w:r>
              <w:rPr>
                <w:rFonts w:ascii="仿宋_GB2312" w:hAnsi="仿宋_GB2312" w:cs="仿宋_GB2312" w:eastAsia="仿宋_GB2312"/>
                <w:sz w:val="28"/>
                <w:color w:val="000000"/>
              </w:rPr>
              <w:t>西安市</w:t>
            </w:r>
            <w:r>
              <w:rPr>
                <w:rFonts w:ascii="仿宋_GB2312" w:hAnsi="仿宋_GB2312" w:cs="仿宋_GB2312" w:eastAsia="仿宋_GB2312"/>
                <w:sz w:val="28"/>
                <w:color w:val="000000"/>
              </w:rPr>
              <w:t>灞桥区</w:t>
            </w:r>
            <w:r>
              <w:rPr>
                <w:rFonts w:ascii="仿宋_GB2312" w:hAnsi="仿宋_GB2312" w:cs="仿宋_GB2312" w:eastAsia="仿宋_GB2312"/>
                <w:sz w:val="28"/>
                <w:color w:val="000000"/>
              </w:rPr>
              <w:t>市场监督管理局食品安全承检机构管理办法</w:t>
            </w:r>
            <w:r>
              <w:rPr>
                <w:rFonts w:ascii="仿宋_GB2312" w:hAnsi="仿宋_GB2312" w:cs="仿宋_GB2312" w:eastAsia="仿宋_GB2312"/>
                <w:sz w:val="28"/>
                <w:color w:val="000000"/>
              </w:rPr>
              <w:t>》，采购方有权对承检机构开展年度考核工作，</w:t>
            </w:r>
            <w:r>
              <w:rPr>
                <w:rFonts w:ascii="仿宋_GB2312" w:hAnsi="仿宋_GB2312" w:cs="仿宋_GB2312" w:eastAsia="仿宋_GB2312"/>
                <w:sz w:val="28"/>
                <w:color w:val="000000"/>
              </w:rPr>
              <w:t>承检机构应当参加并配合</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开展的</w:t>
            </w:r>
            <w:r>
              <w:rPr>
                <w:rFonts w:ascii="仿宋_GB2312" w:hAnsi="仿宋_GB2312" w:cs="仿宋_GB2312" w:eastAsia="仿宋_GB2312"/>
                <w:sz w:val="28"/>
                <w:color w:val="000000"/>
              </w:rPr>
              <w:t>相关</w:t>
            </w:r>
            <w:r>
              <w:rPr>
                <w:rFonts w:ascii="仿宋_GB2312" w:hAnsi="仿宋_GB2312" w:cs="仿宋_GB2312" w:eastAsia="仿宋_GB2312"/>
                <w:sz w:val="28"/>
                <w:color w:val="000000"/>
              </w:rPr>
              <w:t>监督检查工作，不得拒绝、阻挠、逃避或弄虚作假。</w:t>
            </w:r>
          </w:p>
          <w:p>
            <w:pPr>
              <w:pStyle w:val="null3"/>
              <w:jc w:val="both"/>
            </w:pPr>
            <w:r>
              <w:rPr>
                <w:rFonts w:ascii="仿宋_GB2312" w:hAnsi="仿宋_GB2312" w:cs="仿宋_GB2312" w:eastAsia="仿宋_GB2312"/>
                <w:sz w:val="28"/>
                <w:b/>
                <w:color w:val="000000"/>
              </w:rPr>
              <w:t>四、商务要求</w:t>
            </w:r>
          </w:p>
          <w:p>
            <w:pPr>
              <w:pStyle w:val="null3"/>
              <w:jc w:val="both"/>
            </w:pPr>
            <w:r>
              <w:rPr>
                <w:rFonts w:ascii="仿宋_GB2312" w:hAnsi="仿宋_GB2312" w:cs="仿宋_GB2312" w:eastAsia="仿宋_GB2312"/>
                <w:sz w:val="28"/>
                <w:color w:val="000000"/>
              </w:rPr>
              <w:t>（一）服务期限</w:t>
            </w:r>
          </w:p>
          <w:p>
            <w:pPr>
              <w:pStyle w:val="null3"/>
              <w:ind w:firstLine="280"/>
              <w:jc w:val="both"/>
            </w:pPr>
            <w:r>
              <w:rPr>
                <w:rFonts w:ascii="仿宋_GB2312" w:hAnsi="仿宋_GB2312" w:cs="仿宋_GB2312" w:eastAsia="仿宋_GB2312"/>
                <w:sz w:val="28"/>
                <w:color w:val="000000"/>
              </w:rPr>
              <w:t>一年</w:t>
            </w:r>
          </w:p>
          <w:p>
            <w:pPr>
              <w:pStyle w:val="null3"/>
              <w:jc w:val="both"/>
            </w:pPr>
            <w:r>
              <w:rPr>
                <w:rFonts w:ascii="仿宋_GB2312" w:hAnsi="仿宋_GB2312" w:cs="仿宋_GB2312" w:eastAsia="仿宋_GB2312"/>
                <w:sz w:val="28"/>
                <w:color w:val="000000"/>
              </w:rPr>
              <w:t>（二）款项结算</w:t>
            </w:r>
          </w:p>
          <w:p>
            <w:pPr>
              <w:pStyle w:val="null3"/>
              <w:ind w:firstLine="280"/>
              <w:jc w:val="both"/>
            </w:pPr>
            <w:r>
              <w:rPr>
                <w:rFonts w:ascii="仿宋_GB2312" w:hAnsi="仿宋_GB2312" w:cs="仿宋_GB2312" w:eastAsia="仿宋_GB2312"/>
                <w:sz w:val="28"/>
                <w:color w:val="000000"/>
              </w:rPr>
              <w:t>1）按月或季度支付，由</w:t>
            </w:r>
            <w:r>
              <w:rPr>
                <w:rFonts w:ascii="仿宋_GB2312" w:hAnsi="仿宋_GB2312" w:cs="仿宋_GB2312" w:eastAsia="仿宋_GB2312"/>
                <w:sz w:val="28"/>
                <w:color w:val="000000"/>
              </w:rPr>
              <w:t>承检机构（以下均称乙方）</w:t>
            </w:r>
            <w:r>
              <w:rPr>
                <w:rFonts w:ascii="仿宋_GB2312" w:hAnsi="仿宋_GB2312" w:cs="仿宋_GB2312" w:eastAsia="仿宋_GB2312"/>
                <w:sz w:val="28"/>
                <w:color w:val="000000"/>
              </w:rPr>
              <w:t>向</w:t>
            </w:r>
            <w:r>
              <w:rPr>
                <w:rFonts w:ascii="仿宋_GB2312" w:hAnsi="仿宋_GB2312" w:cs="仿宋_GB2312" w:eastAsia="仿宋_GB2312"/>
                <w:sz w:val="28"/>
                <w:color w:val="000000"/>
              </w:rPr>
              <w:t>西安市灞桥区市场监督管理局</w:t>
            </w:r>
            <w:r>
              <w:rPr>
                <w:rFonts w:ascii="仿宋_GB2312" w:hAnsi="仿宋_GB2312" w:cs="仿宋_GB2312" w:eastAsia="仿宋_GB2312"/>
                <w:sz w:val="28"/>
                <w:color w:val="000000"/>
              </w:rPr>
              <w:t>（</w:t>
            </w:r>
            <w:r>
              <w:rPr>
                <w:rFonts w:ascii="仿宋_GB2312" w:hAnsi="仿宋_GB2312" w:cs="仿宋_GB2312" w:eastAsia="仿宋_GB2312"/>
                <w:sz w:val="28"/>
                <w:color w:val="000000"/>
              </w:rPr>
              <w:t>以下均称甲方</w:t>
            </w:r>
            <w:r>
              <w:rPr>
                <w:rFonts w:ascii="仿宋_GB2312" w:hAnsi="仿宋_GB2312" w:cs="仿宋_GB2312" w:eastAsia="仿宋_GB2312"/>
                <w:sz w:val="28"/>
                <w:color w:val="000000"/>
              </w:rPr>
              <w:t>）</w:t>
            </w:r>
            <w:r>
              <w:rPr>
                <w:rFonts w:ascii="仿宋_GB2312" w:hAnsi="仿宋_GB2312" w:cs="仿宋_GB2312" w:eastAsia="仿宋_GB2312"/>
                <w:sz w:val="28"/>
                <w:color w:val="000000"/>
              </w:rPr>
              <w:t>提出付费申请，附完成项目检测报告、经甲方对乙方完成的检测数量、质量情况进行考核验收合格后，以此价格一次性向乙方支付合同价款。</w:t>
            </w:r>
          </w:p>
          <w:p>
            <w:pPr>
              <w:pStyle w:val="null3"/>
              <w:ind w:firstLine="280"/>
              <w:jc w:val="both"/>
            </w:pPr>
            <w:r>
              <w:rPr>
                <w:rFonts w:ascii="仿宋_GB2312" w:hAnsi="仿宋_GB2312" w:cs="仿宋_GB2312" w:eastAsia="仿宋_GB2312"/>
                <w:sz w:val="28"/>
                <w:color w:val="000000"/>
              </w:rPr>
              <w:t>2）结算方式：银行转账；</w:t>
            </w:r>
          </w:p>
          <w:p>
            <w:pPr>
              <w:pStyle w:val="null3"/>
              <w:ind w:firstLine="280"/>
              <w:jc w:val="both"/>
            </w:pPr>
            <w:r>
              <w:rPr>
                <w:rFonts w:ascii="仿宋_GB2312" w:hAnsi="仿宋_GB2312" w:cs="仿宋_GB2312" w:eastAsia="仿宋_GB2312"/>
                <w:sz w:val="28"/>
                <w:color w:val="000000"/>
              </w:rPr>
              <w:t>3）由甲方以人民币负责结算，在付款前，乙方必须开具全额发票给甲方。中标人若为中小企业，付款方式将按照中华人民共和国国务院令第728号《保障中小企业款项支付条例》执行。</w:t>
            </w:r>
          </w:p>
          <w:p>
            <w:pPr>
              <w:pStyle w:val="null3"/>
              <w:spacing w:before="315"/>
              <w:jc w:val="both"/>
            </w:pPr>
            <w:r>
              <w:rPr>
                <w:rFonts w:ascii="仿宋_GB2312" w:hAnsi="仿宋_GB2312" w:cs="仿宋_GB2312" w:eastAsia="仿宋_GB2312"/>
                <w:sz w:val="28"/>
                <w:b/>
                <w:color w:val="000000"/>
              </w:rPr>
              <w:t>五、其他</w:t>
            </w:r>
          </w:p>
          <w:p>
            <w:pPr>
              <w:pStyle w:val="null3"/>
              <w:jc w:val="both"/>
            </w:pPr>
            <w:r>
              <w:rPr>
                <w:rFonts w:ascii="仿宋_GB2312" w:hAnsi="仿宋_GB2312" w:cs="仿宋_GB2312" w:eastAsia="仿宋_GB2312"/>
                <w:sz w:val="28"/>
                <w:color w:val="000000"/>
              </w:rPr>
              <w:t>（一）质量标准</w:t>
            </w:r>
          </w:p>
          <w:p>
            <w:pPr>
              <w:pStyle w:val="null3"/>
              <w:ind w:firstLine="280"/>
              <w:jc w:val="both"/>
            </w:pPr>
            <w:r>
              <w:rPr>
                <w:rFonts w:ascii="仿宋_GB2312" w:hAnsi="仿宋_GB2312" w:cs="仿宋_GB2312" w:eastAsia="仿宋_GB2312"/>
                <w:sz w:val="28"/>
                <w:color w:val="000000"/>
              </w:rPr>
              <w:t>依照检测样品的国家标准。对没有国家标准的，可按照地方标准、卫生标准、质量标准和相关的行业标准、地方标准、企业标准、产品标签明示值或国家明文规定的限量值及国家指定的特定检验方法等进行检验。</w:t>
            </w:r>
          </w:p>
          <w:p>
            <w:pPr>
              <w:pStyle w:val="null3"/>
              <w:jc w:val="both"/>
            </w:pPr>
            <w:r>
              <w:rPr>
                <w:rFonts w:ascii="仿宋_GB2312" w:hAnsi="仿宋_GB2312" w:cs="仿宋_GB2312" w:eastAsia="仿宋_GB2312"/>
                <w:sz w:val="28"/>
                <w:color w:val="000000"/>
              </w:rPr>
              <w:t>（二）违约责任</w:t>
            </w:r>
          </w:p>
          <w:p>
            <w:pPr>
              <w:pStyle w:val="null3"/>
              <w:ind w:firstLine="280"/>
              <w:jc w:val="both"/>
            </w:pPr>
            <w:r>
              <w:rPr>
                <w:rFonts w:ascii="仿宋_GB2312" w:hAnsi="仿宋_GB2312" w:cs="仿宋_GB2312" w:eastAsia="仿宋_GB2312"/>
                <w:sz w:val="28"/>
                <w:color w:val="000000"/>
              </w:rPr>
              <w:t>1、甲乙双方必须遵守本合同并执行合同中的各项规定，保证本合同的正常履行。</w:t>
            </w:r>
          </w:p>
          <w:p>
            <w:pPr>
              <w:pStyle w:val="null3"/>
              <w:ind w:firstLine="280"/>
              <w:jc w:val="both"/>
            </w:pPr>
            <w:r>
              <w:rPr>
                <w:rFonts w:ascii="仿宋_GB2312" w:hAnsi="仿宋_GB2312" w:cs="仿宋_GB2312" w:eastAsia="仿宋_GB2312"/>
                <w:sz w:val="28"/>
                <w:color w:val="000000"/>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承检机构向西安市灞桥区市场监督管理局提出付费申请，附完成项目检测报告、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后，以此价格一次性向承检机构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投标人可同时参与本项目所有标段的投标，但最多只能在一个标段中标。若同一投标人在多个标段中均被推荐为第一中标候选人，将按以下规则确定中标标段： 按标段优先级（标包序号1、2）依次评审。若某投标人在前一标段被推荐为第一中标候选人，则后续标段中该投标人不再推荐，其排名由后续投标人递补。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供应商应提供的相关资格证明文件.docx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法定代表人身份证明，营业执照</w:t>
            </w:r>
          </w:p>
        </w:tc>
        <w:tc>
          <w:tcPr>
            <w:tcW w:type="dxa" w:w="3322"/>
          </w:tcPr>
          <w:p>
            <w:pPr>
              <w:pStyle w:val="null3"/>
            </w:pPr>
            <w:r>
              <w:rPr>
                <w:rFonts w:ascii="仿宋_GB2312" w:hAnsi="仿宋_GB2312" w:cs="仿宋_GB2312" w:eastAsia="仿宋_GB2312"/>
              </w:rPr>
              <w:t>具有独立承担民事责任能力的企业法人、事业法人、其他组织或者自然人，企业法人应提供统一社会信用代码的营业执照；事业法人应提供统一社会信用代码证书；其他组织应提供合法证明文件；自然人提供身份证明文件；</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法定代表人授权书及被授权人身份证；法定代表人身份证明及身份证</w:t>
            </w:r>
          </w:p>
        </w:tc>
        <w:tc>
          <w:tcPr>
            <w:tcW w:type="dxa" w:w="3322"/>
          </w:tcPr>
          <w:p>
            <w:pPr>
              <w:pStyle w:val="null3"/>
            </w:pPr>
            <w:r>
              <w:rPr>
                <w:rFonts w:ascii="仿宋_GB2312" w:hAnsi="仿宋_GB2312" w:cs="仿宋_GB2312" w:eastAsia="仿宋_GB2312"/>
              </w:rPr>
              <w:t>法定代表人参加投标的，须提供法定代表人身份证明及本人身份证加盖公章的复印件；法定代表人授权他人参加投标的，须提供法定代表人授权委托书及被授权代表的身份证复印件。（非法人单位的负责人参照法定代表人提供相关资料）；</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提供2023年或2024年度具有财务审计资质的单位出具的财务审计报告或基本存款账户开户银行出具的资信证明（附开户许可证或基本存款账户信息）；</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提供2024年1月1日至开标截止日，任意一个月的纳税凭据，依法免税的应提供相关证明材料；</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提供2024年1月1日至开标截止日，任意一个月的社会保障资金缴存单据或社保机构开具的社会保险参保缴费情况证明，依法不需要缴纳社会保障资金的应提供相关证明材料；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资质证书证明</w:t>
            </w:r>
          </w:p>
        </w:tc>
        <w:tc>
          <w:tcPr>
            <w:tcW w:type="dxa" w:w="3322"/>
          </w:tcPr>
          <w:p>
            <w:pPr>
              <w:pStyle w:val="null3"/>
            </w:pPr>
            <w:r>
              <w:rPr>
                <w:rFonts w:ascii="仿宋_GB2312" w:hAnsi="仿宋_GB2312" w:cs="仿宋_GB2312" w:eastAsia="仿宋_GB2312"/>
              </w:rPr>
              <w:t>供应商须提供检验检测机构资质认定证书CMA（证书附表包含食品)和农产品质量安全检测机构考核合格证书CATL；</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（1）.供应商提供具有履行本合同所必需的设备和专业技术能力的承诺； （2）.供应商提供所报平均批次价格应符合西安市平均标准，且不合格批次问题发现率不低于4%的书面承诺；</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 (www.creditchina.gov.cn)”中重大税收违法失信主体的供应商，“中国执行信息公开网 (http://zxgk.court.gov.cn/shixin/)”中列入失信被执行人的供应商，不得为“中国政府采购网(www.ccgp.gov.cn)”政府采购严重违法失信行为记录名单中被财政部门禁止参加政府采购活动的供应商（提供网站截图，加盖供应商公章或电子章）；</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单位负责人为同一人或者存在直接控股、管理关系的不同供应商，不得参加同一合同项下的政府采购活动。（提供书面声明，加盖供应商公章或电子章）</w:t>
            </w:r>
          </w:p>
        </w:tc>
        <w:tc>
          <w:tcPr>
            <w:tcW w:type="dxa" w:w="1661"/>
          </w:tcPr>
          <w:p>
            <w:pPr>
              <w:pStyle w:val="null3"/>
            </w:pPr>
            <w:r>
              <w:rPr>
                <w:rFonts w:ascii="仿宋_GB2312" w:hAnsi="仿宋_GB2312" w:cs="仿宋_GB2312" w:eastAsia="仿宋_GB2312"/>
              </w:rPr>
              <w:t>供应商应提供的相关资格证明文件.docx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商务应答表 报价表 响应文件封面 供应商应提供的相关资格证明文件.docx 分项报价表.docx 残疾人福利性单位声明函 业绩证明材料.docx 技术和商务偏离表.docx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商务应答表 报价表 响应文件封面 分项报价表.docx 供应商应提供的相关资格证明文件.docx 残疾人福利性单位声明函 业绩证明材料.docx 技术和商务偏离表.docx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技术和商务偏离表.docx 业绩证明材料.docx 报价表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情况进行评分，主要包括①工作背景②形势分析③总体思路④工作依据等，且为专门针对本项目、符合本项目实际需求的得16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工作方案及重难点问 题解决措施</w:t>
            </w:r>
          </w:p>
        </w:tc>
        <w:tc>
          <w:tcPr>
            <w:tcW w:type="dxa" w:w="2492"/>
          </w:tcPr>
          <w:p>
            <w:pPr>
              <w:pStyle w:val="null3"/>
            </w:pPr>
            <w:r>
              <w:rPr>
                <w:rFonts w:ascii="仿宋_GB2312" w:hAnsi="仿宋_GB2312" w:cs="仿宋_GB2312" w:eastAsia="仿宋_GB2312"/>
              </w:rPr>
              <w:t>根据供应商针对本项目的重难点分析及解决方案情况进行评分，主要包括：①工作目标②工作内容③技术路线④工作方法⑤对本项目的建议分析等，且为专门针对本项目、符合本项目实际需求的得15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主要包括：①整体实施方案②实施思路③技术方案设计④实施计划⑤拟投入设备等，且为专门针对本项目、符合本项目实际需求的得25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针对本项目制定的质量控制阐述情况进行评分，主要包括①服务质量保证措施②管理组织构架③管理规范等，且为专门针对本项目、符合本项目实际需求的得15分，每缺少一项内容，或内容明显错误，或内容非专门针对本项目，或内容不能满足本项目实际需求的每一项扣1-5分，扣完为止，未提及此项不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人员配置：①项目人员中每具有1个高级职称的，每个得1分②项目人员中每具有1个中级职称的，每个得0.5分。本项最高得3分；注：以上人员均需提供本单位近六个月的社保缴纳证明材料（退休人员除外），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针对本项目制定的后续服务方案情况进行评分，主要包括①售后服务承诺书②后续服务质量保证措施等，且为专门针对本项目、符合本项目实际需求的得6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两年在陕西省签署的类似项目业绩（以合同签订日期为准，合同中需要详细体现服务内容），能提供近两年在陕西省地区服务各区县问题发现率任务完成情况，问题发现率高于3.5%的，每提供一项得1分，最高得10分。 以服务合同、国抽系统截图为准，须提供清晰的复印件或扫描件，如因资料无法辨识,责任供应商自负。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4、磋商小组1/2以上成员认为某报价有明显低于或高于成本价嫌疑的，为无效报价按废标处理。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详见附件：供应商应提供的相关资格证明文件.docx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