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F5E3C">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outlineLvl w:val="0"/>
        <w:rPr>
          <w:rFonts w:hint="eastAsia" w:ascii="宋体" w:hAnsi="宋体" w:eastAsia="宋体" w:cs="宋体"/>
          <w:b/>
          <w:bCs/>
          <w:i w:val="0"/>
          <w:iCs w:val="0"/>
          <w:caps w:val="0"/>
          <w:color w:val="333333"/>
          <w:spacing w:val="0"/>
          <w:sz w:val="39"/>
          <w:szCs w:val="39"/>
          <w:highlight w:val="none"/>
          <w:shd w:val="clear" w:fill="FFFFFF"/>
        </w:rPr>
      </w:pPr>
      <w:r>
        <w:rPr>
          <w:rFonts w:hint="eastAsia" w:ascii="宋体" w:hAnsi="宋体" w:eastAsia="宋体" w:cs="宋体"/>
          <w:b/>
          <w:bCs/>
          <w:i w:val="0"/>
          <w:iCs w:val="0"/>
          <w:caps w:val="0"/>
          <w:color w:val="333333"/>
          <w:spacing w:val="0"/>
          <w:sz w:val="39"/>
          <w:szCs w:val="39"/>
          <w:highlight w:val="none"/>
          <w:shd w:val="clear" w:fill="FFFFFF"/>
        </w:rPr>
        <w:t>拟签订采购合同文本</w:t>
      </w:r>
    </w:p>
    <w:p w14:paraId="538E536C">
      <w:pPr>
        <w:rPr>
          <w:rFonts w:hint="eastAsia" w:ascii="宋体" w:hAnsi="宋体" w:eastAsia="宋体" w:cs="宋体"/>
          <w:highlight w:val="none"/>
        </w:rPr>
      </w:pPr>
      <w:r>
        <w:rPr>
          <w:rFonts w:hint="eastAsia" w:ascii="宋体" w:hAnsi="宋体" w:eastAsia="宋体" w:cs="宋体"/>
          <w:highlight w:val="none"/>
        </w:rPr>
        <w:br w:type="page"/>
      </w:r>
    </w:p>
    <w:p w14:paraId="54240E41">
      <w:pPr>
        <w:spacing w:line="360" w:lineRule="auto"/>
        <w:ind w:right="210" w:rightChars="100"/>
        <w:rPr>
          <w:rFonts w:hint="eastAsia" w:hAnsi="宋体" w:cs="宋体"/>
          <w:b/>
          <w:color w:val="auto"/>
          <w:sz w:val="28"/>
          <w:szCs w:val="28"/>
          <w:highlight w:val="none"/>
        </w:rPr>
      </w:pPr>
    </w:p>
    <w:p w14:paraId="072C69D0">
      <w:pPr>
        <w:spacing w:line="360" w:lineRule="auto"/>
        <w:ind w:right="210" w:rightChars="100"/>
        <w:rPr>
          <w:rFonts w:hint="eastAsia" w:hAnsi="宋体" w:cs="宋体"/>
          <w:b/>
          <w:color w:val="auto"/>
          <w:sz w:val="28"/>
          <w:szCs w:val="28"/>
          <w:highlight w:val="none"/>
        </w:rPr>
      </w:pPr>
    </w:p>
    <w:p w14:paraId="2E5CC163">
      <w:pPr>
        <w:pStyle w:val="2"/>
        <w:rPr>
          <w:rFonts w:hint="eastAsia" w:ascii="宋体" w:hAnsi="宋体" w:cs="宋体"/>
          <w:b/>
          <w:color w:val="auto"/>
          <w:sz w:val="28"/>
          <w:szCs w:val="28"/>
          <w:highlight w:val="none"/>
          <w:lang w:eastAsia="zh-CN"/>
        </w:rPr>
      </w:pPr>
    </w:p>
    <w:p w14:paraId="3C196425">
      <w:pPr>
        <w:rPr>
          <w:rFonts w:hint="eastAsia" w:ascii="宋体" w:hAnsi="宋体" w:cs="宋体"/>
          <w:b/>
          <w:color w:val="auto"/>
          <w:sz w:val="28"/>
          <w:szCs w:val="28"/>
          <w:highlight w:val="none"/>
          <w:lang w:eastAsia="zh-CN"/>
        </w:rPr>
      </w:pPr>
    </w:p>
    <w:p w14:paraId="554B64DF">
      <w:pPr>
        <w:pStyle w:val="5"/>
        <w:rPr>
          <w:rFonts w:hint="eastAsia"/>
          <w:color w:val="auto"/>
          <w:highlight w:val="none"/>
          <w:lang w:eastAsia="zh-CN"/>
        </w:rPr>
      </w:pPr>
    </w:p>
    <w:p w14:paraId="4DF63B38">
      <w:pPr>
        <w:rPr>
          <w:rFonts w:hint="eastAsia"/>
          <w:color w:val="auto"/>
          <w:highlight w:val="none"/>
        </w:rPr>
      </w:pPr>
    </w:p>
    <w:p w14:paraId="60E1B95B">
      <w:pP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机关食堂服务采购项目</w:t>
      </w:r>
    </w:p>
    <w:p w14:paraId="4134B070">
      <w:pPr>
        <w:spacing w:line="360" w:lineRule="auto"/>
        <w:ind w:right="210" w:rightChars="10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服务合同</w:t>
      </w:r>
    </w:p>
    <w:p w14:paraId="1EF170CB">
      <w:pPr>
        <w:spacing w:line="360" w:lineRule="auto"/>
        <w:ind w:right="210" w:rightChars="100"/>
        <w:rPr>
          <w:rFonts w:hint="eastAsia" w:ascii="仿宋" w:hAnsi="仿宋" w:eastAsia="仿宋" w:cs="仿宋"/>
          <w:b/>
          <w:color w:val="auto"/>
          <w:szCs w:val="24"/>
          <w:highlight w:val="none"/>
        </w:rPr>
      </w:pPr>
    </w:p>
    <w:p w14:paraId="131A71A1">
      <w:pPr>
        <w:spacing w:line="360" w:lineRule="auto"/>
        <w:ind w:right="210" w:rightChars="100"/>
        <w:rPr>
          <w:rFonts w:hint="eastAsia" w:ascii="仿宋" w:hAnsi="仿宋" w:eastAsia="仿宋" w:cs="仿宋"/>
          <w:b/>
          <w:color w:val="auto"/>
          <w:szCs w:val="24"/>
          <w:highlight w:val="none"/>
        </w:rPr>
      </w:pPr>
    </w:p>
    <w:p w14:paraId="5346D3AC">
      <w:pPr>
        <w:spacing w:line="360" w:lineRule="auto"/>
        <w:ind w:right="210" w:rightChars="100"/>
        <w:rPr>
          <w:rFonts w:hint="eastAsia" w:ascii="仿宋" w:hAnsi="仿宋" w:eastAsia="仿宋" w:cs="仿宋"/>
          <w:b/>
          <w:color w:val="auto"/>
          <w:szCs w:val="24"/>
          <w:highlight w:val="none"/>
        </w:rPr>
      </w:pPr>
    </w:p>
    <w:p w14:paraId="1329A3BF">
      <w:pPr>
        <w:spacing w:line="360" w:lineRule="auto"/>
        <w:ind w:right="210" w:rightChars="100"/>
        <w:rPr>
          <w:rFonts w:hint="eastAsia" w:ascii="仿宋" w:hAnsi="仿宋" w:eastAsia="仿宋" w:cs="仿宋"/>
          <w:b/>
          <w:color w:val="auto"/>
          <w:szCs w:val="24"/>
          <w:highlight w:val="none"/>
        </w:rPr>
      </w:pPr>
    </w:p>
    <w:p w14:paraId="4559A2CA">
      <w:pPr>
        <w:spacing w:line="360" w:lineRule="auto"/>
        <w:ind w:right="210" w:rightChars="100"/>
        <w:rPr>
          <w:rFonts w:hint="eastAsia" w:ascii="仿宋" w:hAnsi="仿宋" w:eastAsia="仿宋" w:cs="仿宋"/>
          <w:b/>
          <w:color w:val="auto"/>
          <w:szCs w:val="24"/>
          <w:highlight w:val="none"/>
        </w:rPr>
      </w:pPr>
    </w:p>
    <w:p w14:paraId="16C7BD98">
      <w:pPr>
        <w:spacing w:line="360" w:lineRule="auto"/>
        <w:ind w:right="210" w:rightChars="100"/>
        <w:rPr>
          <w:rFonts w:hint="eastAsia" w:ascii="仿宋" w:hAnsi="仿宋" w:eastAsia="仿宋" w:cs="仿宋"/>
          <w:b/>
          <w:color w:val="auto"/>
          <w:szCs w:val="24"/>
          <w:highlight w:val="none"/>
        </w:rPr>
      </w:pPr>
    </w:p>
    <w:p w14:paraId="1F6FDBF1">
      <w:pPr>
        <w:pStyle w:val="5"/>
        <w:rPr>
          <w:rFonts w:hint="eastAsia"/>
          <w:color w:val="auto"/>
          <w:highlight w:val="none"/>
        </w:rPr>
      </w:pPr>
    </w:p>
    <w:p w14:paraId="66A19A89">
      <w:pPr>
        <w:spacing w:line="360" w:lineRule="auto"/>
        <w:ind w:right="210" w:rightChars="100"/>
        <w:rPr>
          <w:rFonts w:hint="eastAsia" w:ascii="仿宋" w:hAnsi="仿宋" w:eastAsia="仿宋" w:cs="仿宋"/>
          <w:b/>
          <w:color w:val="auto"/>
          <w:szCs w:val="24"/>
          <w:highlight w:val="none"/>
        </w:rPr>
      </w:pPr>
    </w:p>
    <w:p w14:paraId="677BFF44">
      <w:pPr>
        <w:spacing w:line="360" w:lineRule="auto"/>
        <w:ind w:right="210" w:rightChars="100"/>
        <w:rPr>
          <w:rFonts w:hint="eastAsia" w:ascii="仿宋" w:hAnsi="仿宋" w:eastAsia="仿宋" w:cs="仿宋"/>
          <w:b/>
          <w:color w:val="auto"/>
          <w:szCs w:val="24"/>
          <w:highlight w:val="none"/>
        </w:rPr>
      </w:pPr>
    </w:p>
    <w:p w14:paraId="259B9C75">
      <w:pPr>
        <w:spacing w:line="360" w:lineRule="auto"/>
        <w:ind w:right="210" w:rightChars="100"/>
        <w:rPr>
          <w:rFonts w:hint="eastAsia" w:ascii="仿宋" w:hAnsi="仿宋" w:eastAsia="仿宋" w:cs="仿宋"/>
          <w:b/>
          <w:color w:val="auto"/>
          <w:szCs w:val="24"/>
          <w:highlight w:val="none"/>
        </w:rPr>
      </w:pPr>
    </w:p>
    <w:p w14:paraId="0F2B696D">
      <w:pPr>
        <w:spacing w:line="360" w:lineRule="auto"/>
        <w:ind w:right="210" w:rightChars="100"/>
        <w:rPr>
          <w:rFonts w:hint="eastAsia" w:ascii="仿宋" w:hAnsi="仿宋" w:eastAsia="仿宋" w:cs="仿宋"/>
          <w:b/>
          <w:color w:val="auto"/>
          <w:szCs w:val="24"/>
          <w:highlight w:val="none"/>
        </w:rPr>
      </w:pPr>
    </w:p>
    <w:p w14:paraId="67DCB027">
      <w:pPr>
        <w:spacing w:line="360" w:lineRule="auto"/>
        <w:ind w:right="210" w:rightChars="100" w:firstLine="1687" w:firstLineChars="700"/>
        <w:rPr>
          <w:rFonts w:hint="eastAsia" w:ascii="仿宋" w:hAnsi="仿宋" w:eastAsia="仿宋" w:cs="仿宋"/>
          <w:b/>
          <w:color w:val="auto"/>
          <w:sz w:val="24"/>
          <w:szCs w:val="32"/>
          <w:highlight w:val="none"/>
          <w:u w:val="single"/>
          <w:lang w:eastAsia="zh-CN"/>
        </w:rPr>
      </w:pPr>
      <w:r>
        <w:rPr>
          <w:rFonts w:hint="eastAsia" w:ascii="仿宋" w:hAnsi="仿宋" w:eastAsia="仿宋" w:cs="仿宋"/>
          <w:b/>
          <w:color w:val="auto"/>
          <w:sz w:val="24"/>
          <w:szCs w:val="32"/>
          <w:highlight w:val="none"/>
        </w:rPr>
        <w:t>甲方（采购人）：</w:t>
      </w:r>
      <w:r>
        <w:rPr>
          <w:rFonts w:hint="eastAsia" w:ascii="仿宋" w:hAnsi="仿宋" w:eastAsia="仿宋" w:cs="仿宋"/>
          <w:b/>
          <w:color w:val="auto"/>
          <w:sz w:val="24"/>
          <w:szCs w:val="32"/>
          <w:highlight w:val="none"/>
          <w:u w:val="single"/>
          <w:lang w:eastAsia="zh-CN"/>
        </w:rPr>
        <w:t>西安市自然资源和规划局灞桥分局土地储备中心</w:t>
      </w:r>
    </w:p>
    <w:p w14:paraId="45DB7D0D">
      <w:pPr>
        <w:spacing w:line="360" w:lineRule="auto"/>
        <w:ind w:right="210" w:rightChars="100" w:firstLine="1687" w:firstLineChars="700"/>
        <w:rPr>
          <w:rFonts w:hint="eastAsia" w:ascii="仿宋" w:hAnsi="仿宋" w:eastAsia="仿宋" w:cs="仿宋"/>
          <w:b/>
          <w:color w:val="auto"/>
          <w:sz w:val="24"/>
          <w:szCs w:val="32"/>
          <w:highlight w:val="none"/>
          <w:u w:val="single"/>
        </w:rPr>
      </w:pPr>
      <w:r>
        <w:rPr>
          <w:rFonts w:hint="eastAsia" w:ascii="仿宋" w:hAnsi="仿宋" w:eastAsia="仿宋" w:cs="仿宋"/>
          <w:b/>
          <w:color w:val="auto"/>
          <w:sz w:val="24"/>
          <w:szCs w:val="32"/>
          <w:highlight w:val="none"/>
        </w:rPr>
        <w:t>乙方（供应商）：</w:t>
      </w:r>
      <w:r>
        <w:rPr>
          <w:rFonts w:hint="eastAsia" w:ascii="仿宋" w:hAnsi="仿宋" w:eastAsia="仿宋" w:cs="仿宋"/>
          <w:b/>
          <w:color w:val="auto"/>
          <w:sz w:val="24"/>
          <w:szCs w:val="32"/>
          <w:highlight w:val="none"/>
          <w:u w:val="single"/>
        </w:rPr>
        <w:t xml:space="preserve">                </w:t>
      </w:r>
      <w:r>
        <w:rPr>
          <w:rFonts w:hint="eastAsia" w:ascii="仿宋" w:hAnsi="仿宋" w:eastAsia="仿宋" w:cs="仿宋"/>
          <w:b/>
          <w:color w:val="auto"/>
          <w:sz w:val="24"/>
          <w:szCs w:val="32"/>
          <w:highlight w:val="none"/>
          <w:u w:val="single"/>
          <w:lang w:val="en-US" w:eastAsia="zh-CN"/>
        </w:rPr>
        <w:t xml:space="preserve">          </w:t>
      </w:r>
      <w:r>
        <w:rPr>
          <w:rFonts w:hint="eastAsia" w:ascii="仿宋" w:hAnsi="仿宋" w:eastAsia="仿宋" w:cs="仿宋"/>
          <w:b/>
          <w:color w:val="auto"/>
          <w:sz w:val="24"/>
          <w:szCs w:val="32"/>
          <w:highlight w:val="none"/>
          <w:u w:val="single"/>
        </w:rPr>
        <w:t xml:space="preserve">    </w:t>
      </w:r>
      <w:r>
        <w:rPr>
          <w:rFonts w:hint="eastAsia" w:ascii="仿宋" w:hAnsi="仿宋" w:eastAsia="仿宋" w:cs="仿宋"/>
          <w:b/>
          <w:color w:val="auto"/>
          <w:sz w:val="24"/>
          <w:szCs w:val="32"/>
          <w:highlight w:val="none"/>
          <w:u w:val="single"/>
          <w:lang w:val="en-US" w:eastAsia="zh-CN"/>
        </w:rPr>
        <w:t xml:space="preserve">      </w:t>
      </w:r>
      <w:r>
        <w:rPr>
          <w:rFonts w:hint="eastAsia" w:ascii="仿宋" w:hAnsi="仿宋" w:eastAsia="仿宋" w:cs="仿宋"/>
          <w:b/>
          <w:color w:val="auto"/>
          <w:sz w:val="24"/>
          <w:szCs w:val="32"/>
          <w:highlight w:val="none"/>
          <w:u w:val="single"/>
        </w:rPr>
        <w:t xml:space="preserve">      </w:t>
      </w:r>
    </w:p>
    <w:p w14:paraId="6E0055CF">
      <w:pPr>
        <w:spacing w:line="360" w:lineRule="auto"/>
        <w:ind w:right="210" w:rightChars="100" w:firstLine="1687" w:firstLineChars="700"/>
        <w:rPr>
          <w:rFonts w:hint="eastAsia" w:ascii="仿宋" w:hAnsi="仿宋" w:eastAsia="仿宋" w:cs="仿宋"/>
          <w:b/>
          <w:color w:val="auto"/>
          <w:szCs w:val="24"/>
          <w:highlight w:val="none"/>
        </w:rPr>
      </w:pPr>
      <w:r>
        <w:rPr>
          <w:rFonts w:hint="eastAsia" w:ascii="仿宋" w:hAnsi="仿宋" w:eastAsia="仿宋" w:cs="仿宋"/>
          <w:b/>
          <w:color w:val="auto"/>
          <w:sz w:val="24"/>
          <w:szCs w:val="32"/>
          <w:highlight w:val="none"/>
        </w:rPr>
        <w:t xml:space="preserve">                 年    月    日</w:t>
      </w:r>
    </w:p>
    <w:p w14:paraId="45234865">
      <w:pPr>
        <w:spacing w:line="360" w:lineRule="auto"/>
        <w:ind w:right="210" w:rightChars="100" w:firstLine="1476" w:firstLineChars="700"/>
        <w:rPr>
          <w:rFonts w:hint="eastAsia" w:ascii="仿宋" w:hAnsi="仿宋" w:eastAsia="仿宋" w:cs="仿宋"/>
          <w:b/>
          <w:color w:val="auto"/>
          <w:szCs w:val="24"/>
          <w:highlight w:val="none"/>
        </w:rPr>
      </w:pPr>
    </w:p>
    <w:p w14:paraId="069D0EA8">
      <w:pPr>
        <w:spacing w:line="360" w:lineRule="auto"/>
        <w:ind w:right="210" w:rightChars="100" w:firstLine="1476" w:firstLineChars="700"/>
        <w:rPr>
          <w:rFonts w:hint="eastAsia" w:ascii="仿宋" w:hAnsi="仿宋" w:eastAsia="仿宋" w:cs="仿宋"/>
          <w:b/>
          <w:color w:val="auto"/>
          <w:szCs w:val="24"/>
          <w:highlight w:val="none"/>
          <w:u w:val="single"/>
        </w:rPr>
      </w:pPr>
      <w:r>
        <w:rPr>
          <w:rFonts w:hint="eastAsia" w:ascii="仿宋" w:hAnsi="仿宋" w:eastAsia="仿宋" w:cs="仿宋"/>
          <w:b/>
          <w:color w:val="auto"/>
          <w:szCs w:val="24"/>
          <w:highlight w:val="none"/>
        </w:rPr>
        <w:t xml:space="preserve"> </w:t>
      </w:r>
    </w:p>
    <w:p w14:paraId="25188B11">
      <w:pPr>
        <w:spacing w:line="360" w:lineRule="auto"/>
        <w:ind w:firstLine="316" w:firstLineChars="150"/>
        <w:jc w:val="left"/>
        <w:rPr>
          <w:rFonts w:hint="default" w:ascii="仿宋" w:hAnsi="仿宋" w:eastAsia="仿宋" w:cs="仿宋"/>
          <w:b/>
          <w:sz w:val="24"/>
          <w:szCs w:val="24"/>
          <w:highlight w:val="none"/>
          <w:u w:val="single"/>
          <w:lang w:val="en-US" w:eastAsia="zh-CN"/>
        </w:rPr>
      </w:pPr>
      <w:r>
        <w:rPr>
          <w:rFonts w:hint="eastAsia" w:ascii="仿宋" w:hAnsi="仿宋" w:eastAsia="仿宋" w:cs="仿宋"/>
          <w:b/>
          <w:color w:val="auto"/>
          <w:szCs w:val="24"/>
          <w:highlight w:val="none"/>
        </w:rPr>
        <w:br w:type="page"/>
      </w:r>
      <w:r>
        <w:rPr>
          <w:rFonts w:hint="eastAsia" w:ascii="仿宋" w:hAnsi="仿宋" w:eastAsia="仿宋" w:cs="仿宋"/>
          <w:b/>
          <w:sz w:val="24"/>
          <w:szCs w:val="24"/>
          <w:highlight w:val="none"/>
        </w:rPr>
        <w:t>采购人（甲方）：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b w:val="0"/>
          <w:bCs/>
          <w:sz w:val="24"/>
          <w:szCs w:val="24"/>
          <w:highlight w:val="none"/>
          <w:u w:val="single"/>
          <w:lang w:val="en-US" w:eastAsia="zh-CN"/>
        </w:rPr>
        <w:t xml:space="preserve"> </w:t>
      </w:r>
    </w:p>
    <w:p w14:paraId="1372D7DE">
      <w:pPr>
        <w:spacing w:line="360" w:lineRule="auto"/>
        <w:ind w:firstLine="361" w:firstLineChars="150"/>
        <w:jc w:val="left"/>
        <w:rPr>
          <w:rFonts w:hint="default" w:ascii="仿宋" w:hAnsi="仿宋" w:eastAsia="仿宋" w:cs="仿宋"/>
          <w:sz w:val="24"/>
          <w:szCs w:val="24"/>
          <w:highlight w:val="none"/>
          <w:u w:val="single"/>
          <w:lang w:val="en-US" w:eastAsia="zh-CN"/>
        </w:rPr>
      </w:pPr>
      <w:r>
        <w:rPr>
          <w:rFonts w:hint="eastAsia" w:ascii="仿宋" w:hAnsi="仿宋" w:eastAsia="仿宋" w:cs="仿宋"/>
          <w:b/>
          <w:sz w:val="24"/>
          <w:szCs w:val="24"/>
          <w:highlight w:val="none"/>
        </w:rPr>
        <w:t>供应商（乙方）：</w:t>
      </w:r>
      <w:r>
        <w:rPr>
          <w:rFonts w:hint="eastAsia" w:ascii="仿宋" w:hAnsi="仿宋" w:eastAsia="仿宋" w:cs="仿宋"/>
          <w:b/>
          <w:sz w:val="24"/>
          <w:szCs w:val="24"/>
          <w:highlight w:val="none"/>
          <w:u w:val="single"/>
          <w:lang w:val="en-US" w:eastAsia="zh-CN"/>
        </w:rPr>
        <w:t xml:space="preserve">                                  </w:t>
      </w:r>
    </w:p>
    <w:p w14:paraId="743CD45C">
      <w:pPr>
        <w:spacing w:line="360" w:lineRule="auto"/>
        <w:ind w:firstLine="360" w:firstLineChars="1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w:t>
      </w:r>
      <w:r>
        <w:rPr>
          <w:rFonts w:hint="eastAsia" w:ascii="仿宋" w:hAnsi="仿宋" w:eastAsia="仿宋" w:cs="仿宋"/>
          <w:sz w:val="24"/>
          <w:szCs w:val="24"/>
          <w:highlight w:val="none"/>
          <w:lang w:eastAsia="zh-CN"/>
        </w:rPr>
        <w:t>民</w:t>
      </w:r>
      <w:r>
        <w:rPr>
          <w:rFonts w:hint="eastAsia" w:ascii="仿宋" w:hAnsi="仿宋" w:eastAsia="仿宋" w:cs="仿宋"/>
          <w:sz w:val="24"/>
          <w:szCs w:val="24"/>
          <w:highlight w:val="none"/>
        </w:rPr>
        <w:t>法</w:t>
      </w:r>
      <w:r>
        <w:rPr>
          <w:rFonts w:hint="eastAsia" w:ascii="仿宋" w:hAnsi="仿宋" w:eastAsia="仿宋" w:cs="仿宋"/>
          <w:sz w:val="24"/>
          <w:szCs w:val="24"/>
          <w:highlight w:val="none"/>
          <w:lang w:eastAsia="zh-CN"/>
        </w:rPr>
        <w:t>典</w:t>
      </w:r>
      <w:r>
        <w:rPr>
          <w:rFonts w:hint="eastAsia" w:ascii="仿宋" w:hAnsi="仿宋" w:eastAsia="仿宋" w:cs="仿宋"/>
          <w:sz w:val="24"/>
          <w:szCs w:val="24"/>
          <w:highlight w:val="none"/>
        </w:rPr>
        <w:t>》、《中华人民共和国政府采购法》与项目行业有关的法律法规，以及本项目相关采购要求的规定，合同双方就乙方向采购方提供</w:t>
      </w:r>
      <w:r>
        <w:rPr>
          <w:rFonts w:hint="eastAsia" w:ascii="仿宋" w:hAnsi="仿宋" w:eastAsia="仿宋" w:cs="仿宋"/>
          <w:bCs/>
          <w:sz w:val="24"/>
          <w:szCs w:val="24"/>
          <w:highlight w:val="none"/>
          <w:u w:val="single"/>
          <w:lang w:eastAsia="zh-CN"/>
        </w:rPr>
        <w:t>机关食堂服务采购项目</w:t>
      </w:r>
      <w:r>
        <w:rPr>
          <w:rFonts w:hint="eastAsia" w:ascii="仿宋" w:hAnsi="仿宋" w:eastAsia="仿宋" w:cs="仿宋"/>
          <w:sz w:val="24"/>
          <w:szCs w:val="24"/>
          <w:highlight w:val="none"/>
        </w:rPr>
        <w:t>服务事宜，经协商达成一致，确立本合同。</w:t>
      </w:r>
    </w:p>
    <w:p w14:paraId="7FCFE93F">
      <w:pPr>
        <w:pStyle w:val="9"/>
        <w:spacing w:line="36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项目概况</w:t>
      </w:r>
    </w:p>
    <w:p w14:paraId="55A7FB4B">
      <w:pPr>
        <w:spacing w:line="360" w:lineRule="auto"/>
        <w:ind w:firstLine="42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u w:val="single"/>
          <w:lang w:val="en-US" w:eastAsia="zh-CN"/>
        </w:rPr>
        <w:t xml:space="preserve">                            </w:t>
      </w:r>
    </w:p>
    <w:p w14:paraId="2F7004F5">
      <w:pPr>
        <w:spacing w:line="360" w:lineRule="auto"/>
        <w:ind w:firstLine="42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2、项目地点：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val="en-US" w:eastAsia="zh-CN"/>
        </w:rPr>
        <w:t xml:space="preserve"> </w:t>
      </w:r>
    </w:p>
    <w:p w14:paraId="5EFF5607">
      <w:pPr>
        <w:spacing w:line="360" w:lineRule="auto"/>
        <w:ind w:firstLine="42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3、项目内容：</w:t>
      </w:r>
      <w:r>
        <w:rPr>
          <w:rFonts w:hint="eastAsia" w:ascii="仿宋" w:hAnsi="仿宋" w:eastAsia="仿宋" w:cs="仿宋"/>
          <w:sz w:val="24"/>
          <w:szCs w:val="24"/>
          <w:highlight w:val="none"/>
          <w:u w:val="single"/>
        </w:rPr>
        <w:t xml:space="preserve">                            </w:t>
      </w:r>
    </w:p>
    <w:p w14:paraId="1B08507E">
      <w:pPr>
        <w:spacing w:line="360" w:lineRule="auto"/>
        <w:ind w:firstLine="420"/>
        <w:rPr>
          <w:rFonts w:hint="default" w:eastAsia="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服 务 期</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1年，     年    月    日至      年     月     日</w:t>
      </w:r>
    </w:p>
    <w:p w14:paraId="58616680">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 合同金额</w:t>
      </w:r>
    </w:p>
    <w:p w14:paraId="5EBA73A9">
      <w:pPr>
        <w:adjustRightInd w:val="0"/>
        <w:snapToGrid w:val="0"/>
        <w:spacing w:line="360" w:lineRule="auto"/>
        <w:ind w:firstLine="472" w:firstLineChars="197"/>
        <w:rPr>
          <w:rFonts w:hint="eastAsia"/>
          <w:sz w:val="24"/>
          <w:szCs w:val="24"/>
          <w:highlight w:val="none"/>
        </w:rPr>
      </w:pPr>
      <w:r>
        <w:rPr>
          <w:rFonts w:hint="eastAsia" w:ascii="仿宋" w:hAnsi="仿宋" w:eastAsia="仿宋" w:cs="仿宋"/>
          <w:sz w:val="24"/>
          <w:szCs w:val="24"/>
          <w:highlight w:val="none"/>
          <w:lang w:val="en-US" w:eastAsia="zh-CN"/>
        </w:rPr>
        <w:t>1、成交</w:t>
      </w:r>
      <w:r>
        <w:rPr>
          <w:rFonts w:hint="eastAsia" w:ascii="仿宋" w:hAnsi="仿宋" w:eastAsia="仿宋" w:cs="仿宋"/>
          <w:sz w:val="24"/>
          <w:szCs w:val="24"/>
          <w:highlight w:val="none"/>
        </w:rPr>
        <w:t>优惠率：</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w:t>
      </w:r>
      <w:r>
        <w:rPr>
          <w:rFonts w:hint="eastAsia" w:ascii="仿宋" w:hAnsi="仿宋" w:eastAsia="仿宋" w:cs="仿宋"/>
          <w:sz w:val="24"/>
          <w:szCs w:val="24"/>
          <w:highlight w:val="none"/>
          <w:u w:val="none"/>
          <w:lang w:eastAsia="zh-CN"/>
        </w:rPr>
        <w:t>，</w:t>
      </w:r>
      <w:r>
        <w:rPr>
          <w:rFonts w:hint="eastAsia" w:ascii="仿宋" w:hAnsi="仿宋" w:eastAsia="仿宋" w:cs="仿宋"/>
          <w:sz w:val="24"/>
          <w:szCs w:val="24"/>
          <w:highlight w:val="none"/>
          <w:u w:val="none"/>
          <w:lang w:val="en-US" w:eastAsia="zh-CN"/>
        </w:rPr>
        <w:t>暂定</w:t>
      </w:r>
      <w:r>
        <w:rPr>
          <w:rFonts w:hint="eastAsia" w:ascii="仿宋" w:hAnsi="仿宋" w:eastAsia="仿宋" w:cs="仿宋"/>
          <w:sz w:val="24"/>
          <w:szCs w:val="24"/>
          <w:highlight w:val="none"/>
          <w:lang w:val="en-US" w:eastAsia="zh-CN"/>
        </w:rPr>
        <w:t>总</w:t>
      </w:r>
      <w:r>
        <w:rPr>
          <w:rFonts w:hint="eastAsia" w:ascii="仿宋" w:hAnsi="仿宋" w:eastAsia="仿宋" w:cs="仿宋"/>
          <w:sz w:val="24"/>
          <w:szCs w:val="24"/>
          <w:highlight w:val="none"/>
        </w:rPr>
        <w:t>价款为人民币（大写）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6636894">
      <w:pPr>
        <w:adjustRightInd w:val="0"/>
        <w:snapToGrid w:val="0"/>
        <w:spacing w:line="360" w:lineRule="auto"/>
        <w:ind w:firstLine="475" w:firstLineChars="198"/>
        <w:rPr>
          <w:rFonts w:hint="eastAsia"/>
          <w:sz w:val="24"/>
          <w:szCs w:val="24"/>
          <w:highlight w:val="none"/>
        </w:rPr>
      </w:pPr>
      <w:r>
        <w:rPr>
          <w:rFonts w:hint="eastAsia" w:ascii="仿宋" w:hAnsi="仿宋" w:eastAsia="仿宋" w:cs="仿宋"/>
          <w:sz w:val="24"/>
          <w:szCs w:val="24"/>
          <w:highlight w:val="none"/>
          <w:lang w:val="en-US" w:eastAsia="zh-CN"/>
        </w:rPr>
        <w:t>2、合同总价是指本次服务内容所需的全部费用,包括但不限于本项目的服务实施费用、人员工资、交通费、管理费、利润、风险、各种税金等所有成本。且合同签订后，合同总价不得随意调整，项目履约完成后结算总额不得超过合同总价款。</w:t>
      </w:r>
    </w:p>
    <w:p w14:paraId="0B93BD99">
      <w:pPr>
        <w:adjustRightInd w:val="0"/>
        <w:snapToGrid w:val="0"/>
        <w:spacing w:line="360" w:lineRule="auto"/>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、食品供应按季节随行就市，所有食品价格必须</w:t>
      </w:r>
      <w:r>
        <w:rPr>
          <w:rFonts w:hint="eastAsia" w:ascii="仿宋" w:hAnsi="仿宋" w:eastAsia="仿宋" w:cs="仿宋"/>
          <w:sz w:val="24"/>
          <w:szCs w:val="24"/>
          <w:highlight w:val="none"/>
          <w:lang w:val="en-US" w:eastAsia="zh-CN"/>
        </w:rPr>
        <w:t>执行合同约定的价格且</w:t>
      </w:r>
      <w:r>
        <w:rPr>
          <w:rFonts w:hint="eastAsia" w:ascii="仿宋" w:hAnsi="仿宋" w:eastAsia="仿宋" w:cs="仿宋"/>
          <w:sz w:val="24"/>
          <w:szCs w:val="24"/>
          <w:highlight w:val="none"/>
        </w:rPr>
        <w:t>低于</w:t>
      </w:r>
      <w:r>
        <w:rPr>
          <w:rFonts w:hint="eastAsia" w:ascii="仿宋" w:hAnsi="仿宋" w:eastAsia="仿宋" w:cs="仿宋"/>
          <w:sz w:val="24"/>
          <w:szCs w:val="24"/>
          <w:highlight w:val="none"/>
          <w:lang w:val="en-US" w:eastAsia="zh-CN"/>
        </w:rPr>
        <w:t>当日</w:t>
      </w:r>
      <w:r>
        <w:rPr>
          <w:rFonts w:hint="eastAsia" w:ascii="仿宋" w:hAnsi="仿宋" w:eastAsia="仿宋" w:cs="仿宋"/>
          <w:sz w:val="24"/>
          <w:szCs w:val="24"/>
          <w:highlight w:val="none"/>
        </w:rPr>
        <w:t>西安价格信息网价格</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采购人市场调研价格零售价。</w:t>
      </w:r>
    </w:p>
    <w:p w14:paraId="5EE7F20A">
      <w:pPr>
        <w:adjustRightInd w:val="0"/>
        <w:snapToGrid w:val="0"/>
        <w:spacing w:line="360" w:lineRule="auto"/>
        <w:ind w:firstLine="475" w:firstLineChars="198"/>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4、供货价格可查方式：采取定期询价、核查制度，如果供应价格未执行合同约定的价格，按照与市场零售价差额3倍处罚，且采购人有权终止合同。</w:t>
      </w:r>
    </w:p>
    <w:p w14:paraId="79B0F513">
      <w:pPr>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b/>
          <w:sz w:val="24"/>
          <w:szCs w:val="24"/>
          <w:highlight w:val="none"/>
        </w:rPr>
        <w:t>第三条 结算方式与付款方式</w:t>
      </w:r>
    </w:p>
    <w:p w14:paraId="42A287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、付款前，供应商必须开具全额发票给采购人（附详细供货清单）。</w:t>
      </w:r>
    </w:p>
    <w:p w14:paraId="20BF9FF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、乙方应按照甲方要求，配送到指定地点，经甲方验收合格后，乙方提供所供货物清单，甲方对所供货物的价格进行核实</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按各大菜场平均价格*（1-优惠率）核定结算价格</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，经核实无误后在供货单上签字确认。结算时按甲方签字确认的供货单据实结算。</w:t>
      </w:r>
    </w:p>
    <w:p w14:paraId="0ED3871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费用按月结算，</w:t>
      </w:r>
      <w:r>
        <w:rPr>
          <w:rFonts w:hint="eastAsia" w:ascii="仿宋" w:hAnsi="仿宋" w:eastAsia="仿宋" w:cs="仿宋"/>
          <w:sz w:val="24"/>
          <w:szCs w:val="24"/>
          <w:highlight w:val="none"/>
        </w:rPr>
        <w:t>甲方在次月根据供货单据实结</w:t>
      </w:r>
      <w:r>
        <w:rPr>
          <w:rFonts w:hint="eastAsia" w:ascii="仿宋" w:hAnsi="仿宋" w:eastAsia="仿宋" w:cs="仿宋"/>
          <w:sz w:val="24"/>
          <w:szCs w:val="24"/>
          <w:highlight w:val="none"/>
          <w:lang w:eastAsia="zh-CN"/>
        </w:rPr>
        <w:t>算上个月的费用</w:t>
      </w:r>
      <w:r>
        <w:rPr>
          <w:rFonts w:hint="eastAsia" w:ascii="仿宋" w:hAnsi="仿宋" w:eastAsia="仿宋" w:cs="仿宋"/>
          <w:sz w:val="24"/>
          <w:szCs w:val="24"/>
          <w:highlight w:val="none"/>
        </w:rPr>
        <w:t>，若遇年终预决算等特殊原因，延期结算。</w:t>
      </w:r>
    </w:p>
    <w:p w14:paraId="7A3C8950">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服务内容及要求</w:t>
      </w:r>
    </w:p>
    <w:p w14:paraId="61BCA3BF">
      <w:pPr>
        <w:tabs>
          <w:tab w:val="left" w:pos="84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详见磋商文件及乙方磋商响应文件。</w:t>
      </w:r>
    </w:p>
    <w:p w14:paraId="0C1A3A6C">
      <w:pPr>
        <w:numPr>
          <w:ilvl w:val="0"/>
          <w:numId w:val="2"/>
        </w:num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服务地点</w:t>
      </w:r>
    </w:p>
    <w:p w14:paraId="03B69954">
      <w:pPr>
        <w:numPr>
          <w:ilvl w:val="0"/>
          <w:numId w:val="0"/>
        </w:numPr>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局机关餐厅</w:t>
      </w:r>
    </w:p>
    <w:p w14:paraId="528F9C1F">
      <w:pPr>
        <w:numPr>
          <w:ilvl w:val="0"/>
          <w:numId w:val="0"/>
        </w:num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第六条 双方的权利和义务</w:t>
      </w:r>
    </w:p>
    <w:p w14:paraId="06740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1、甲方向乙方提供明确的服务要求，以便乙方开展工作。乙方向甲方提出配合完成项目工作的合理请求，甲方应及时做出答复并给予协助。</w:t>
      </w:r>
    </w:p>
    <w:p w14:paraId="03F7FD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甲方提前1日向乙方提出配送计划，乙方按配送计划组织货源。并按照甲方指定地点送货，在接到甲方通知后次日内早晨</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点</w:t>
      </w:r>
      <w:r>
        <w:rPr>
          <w:rFonts w:hint="eastAsia" w:ascii="仿宋" w:hAnsi="仿宋" w:eastAsia="仿宋" w:cs="仿宋"/>
          <w:sz w:val="24"/>
          <w:szCs w:val="24"/>
          <w:highlight w:val="none"/>
          <w:lang w:val="en-US" w:eastAsia="zh-CN"/>
        </w:rPr>
        <w:t>30分</w:t>
      </w:r>
      <w:r>
        <w:rPr>
          <w:rFonts w:hint="eastAsia" w:ascii="仿宋" w:hAnsi="仿宋" w:eastAsia="仿宋" w:cs="仿宋"/>
          <w:sz w:val="24"/>
          <w:szCs w:val="24"/>
          <w:highlight w:val="none"/>
        </w:rPr>
        <w:t>前按照食材原料配送计划现场实物验收品种，数量，质量完成送货。由乙方自行组织运输，运费由乙方承担</w:t>
      </w:r>
      <w:r>
        <w:rPr>
          <w:rFonts w:hint="eastAsia" w:ascii="仿宋" w:hAnsi="仿宋" w:eastAsia="仿宋" w:cs="仿宋"/>
          <w:sz w:val="24"/>
          <w:szCs w:val="24"/>
          <w:highlight w:val="none"/>
          <w:lang w:eastAsia="zh-CN"/>
        </w:rPr>
        <w:t>。</w:t>
      </w:r>
    </w:p>
    <w:p w14:paraId="30C50A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、甲方保留要求乙方变更、增加或减少服务范围、实施人员和日程安排的权利。</w:t>
      </w:r>
    </w:p>
    <w:p w14:paraId="13084F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乙方按照甲方要求指定配送点分批次送货，每批次甲方验收质量及数量并签字，货物配送完后依据验收单按月结算货款。若供货验收时出现质量问题或菜品不新鲜，甲方有权拒签供货单，拒收货物。因产品质量问题引起的一切责任事故，均由乙方全权负责，甲方不承担任何责任。</w:t>
      </w:r>
    </w:p>
    <w:p w14:paraId="79230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、送货不及时或货物质量不合格，甲方提出警告，乙方限期作出整改并赔偿甲方所受损失。警告两次或整改不得当，甲方有权单方终止合同。</w:t>
      </w:r>
    </w:p>
    <w:p w14:paraId="19A393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乙方所供货物经甲方核实，累计有10次单批次所供货50%以上的单项价格高于甲方考察的市场均价10%以上的，甲方要求乙方按合同总金额的0.5%支付违约金，违约金不足以弥补损失的，乙方按全额赔偿，甲方有权单方终止合同。</w:t>
      </w:r>
    </w:p>
    <w:p w14:paraId="37B3C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、乙方工作人员的行为与人身、财产安全由乙方负责。</w:t>
      </w:r>
    </w:p>
    <w:p w14:paraId="4EC878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如有重大问题或发生重要变更，乙方须采取合理的措施避免给甲方造成损失，在3天内向甲方做出书面报告并在合理时间内回复甲方提出的与本项目相关的询问。如乙方违反本条的规定而给甲方造成损失，乙方应承担全部的赔偿责任。</w:t>
      </w:r>
    </w:p>
    <w:p w14:paraId="7A5BE3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、因乙方提供不合格或过期产品，造成集体食物中毒等安全事故的，甲方有权单方解除合同，并要求赔偿因此给甲方造成的损失，追究乙方的法律责任。</w:t>
      </w:r>
    </w:p>
    <w:p w14:paraId="244687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、国家法律、法规所规定由甲乙双方承担的其它责任。</w:t>
      </w:r>
    </w:p>
    <w:p w14:paraId="4BB2E536">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 验收和评价方式</w:t>
      </w:r>
    </w:p>
    <w:p w14:paraId="442D65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1、所验服务最终验收达不到磋商文件要求和磋商响应文件承诺及国家或行业标准，或在使用中发现甲方不能容忍的缺陷等，将视为验收不合格，乙方应在甲方要求的时间内无条件完善或要求赔付甲方损失。</w:t>
      </w:r>
    </w:p>
    <w:p w14:paraId="15A751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2、若发现乙方有弄虚作假的，及在项目实施阶段故意或随意夸大服务，本合同解除，乙方赔偿甲方相应的损失。</w:t>
      </w:r>
    </w:p>
    <w:p w14:paraId="7EA1E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3、验收标准：按磋商文件、磋商响应文件等技术指标进行逐项验收。各项指标均应符合验收标准及要求。</w:t>
      </w:r>
    </w:p>
    <w:p w14:paraId="3D64FC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4、验收合格后，填写验收单，双方签字生效。</w:t>
      </w:r>
    </w:p>
    <w:p w14:paraId="4C3339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5、验收依据：</w:t>
      </w:r>
    </w:p>
    <w:p w14:paraId="2F53FB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（1）合同文本；</w:t>
      </w:r>
    </w:p>
    <w:p w14:paraId="261B16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（2）磋商响应文件及磋商文件；</w:t>
      </w:r>
    </w:p>
    <w:p w14:paraId="1B0C96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（3）国家和行业制定的相应的标准和规范。</w:t>
      </w:r>
    </w:p>
    <w:p w14:paraId="083E9F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第八条 保密</w:t>
      </w:r>
    </w:p>
    <w:p w14:paraId="24A56F72">
      <w:pPr>
        <w:tabs>
          <w:tab w:val="left" w:pos="84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对工作中了解到的甲方的技术、机密等进行严格保密，不得向他人泄漏。本合同的解除或终止不免除乙方应承担的保密义务。</w:t>
      </w:r>
    </w:p>
    <w:p w14:paraId="41814F9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第九条 知识产权</w:t>
      </w:r>
    </w:p>
    <w:p w14:paraId="6BF1D1AB">
      <w:pPr>
        <w:tabs>
          <w:tab w:val="left" w:pos="84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详见磋商文件合同条款及格式前附表。</w:t>
      </w:r>
    </w:p>
    <w:p w14:paraId="475E649D">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第十条 合同争议的解决</w:t>
      </w:r>
    </w:p>
    <w:p w14:paraId="005A9FBE">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本合同在履行过程中发生的争议，由甲、乙双方当事人协商解决，协商不成的按下列第</w:t>
      </w:r>
      <w:r>
        <w:rPr>
          <w:rFonts w:hint="eastAsia" w:ascii="仿宋" w:hAnsi="仿宋" w:eastAsia="仿宋" w:cs="仿宋"/>
          <w:bCs/>
          <w:sz w:val="24"/>
          <w:szCs w:val="24"/>
          <w:highlight w:val="none"/>
          <w:u w:val="single"/>
        </w:rPr>
        <w:t>（二）</w:t>
      </w:r>
      <w:r>
        <w:rPr>
          <w:rFonts w:hint="eastAsia" w:ascii="仿宋" w:hAnsi="仿宋" w:eastAsia="仿宋" w:cs="仿宋"/>
          <w:bCs/>
          <w:sz w:val="24"/>
          <w:szCs w:val="24"/>
          <w:highlight w:val="none"/>
        </w:rPr>
        <w:t>种方式解决：</w:t>
      </w:r>
    </w:p>
    <w:p w14:paraId="2B1BE20F">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（一）提交西安仲裁委员会仲裁；</w:t>
      </w:r>
    </w:p>
    <w:p w14:paraId="327D9E21">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（二）依法向甲方所在地人民法院起诉。</w:t>
      </w:r>
    </w:p>
    <w:p w14:paraId="38D641F5">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第十一条 免责条款</w:t>
      </w:r>
    </w:p>
    <w:p w14:paraId="03E077F1">
      <w:pPr>
        <w:tabs>
          <w:tab w:val="left" w:pos="84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如因国家政策、市政建设、自然灾害以及其它不可抗力因素造成本合同确需提前终止的，双方互不视为违约。双方可协商变更或解除合同，甲、乙双方均不负责任。</w:t>
      </w:r>
    </w:p>
    <w:p w14:paraId="33D80C43">
      <w:pPr>
        <w:tabs>
          <w:tab w:val="left" w:pos="84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双方约定不可抗力因素情况指：双方不可预见、不可避免、不可克服的客观情况，但不包括双方的违约或疏忽。这些事件包括但不限于：战争、严重火灾、洪水、台风、地震等。</w:t>
      </w:r>
    </w:p>
    <w:p w14:paraId="3032C287">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第十二条 违约责任</w:t>
      </w:r>
    </w:p>
    <w:p w14:paraId="77582EA5">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按《民法典》中的相关条款执行。</w:t>
      </w:r>
    </w:p>
    <w:p w14:paraId="22BEF58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未按合同要求提供服务或服务质量不能满足采购技术要求，乙方必须无条件提高技术，完善服务质量。否则，甲方会同监督机构有权终止合同并对乙方违约行为进行追究，同时按政府采购供应商管理办法进行相应的处罚。</w:t>
      </w:r>
    </w:p>
    <w:p w14:paraId="7509156F">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ascii="仿宋" w:hAnsi="仿宋" w:eastAsia="仿宋" w:cs="仿宋"/>
          <w:bCs/>
          <w:kern w:val="0"/>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任何一方因不可抗力原因不能履行合同时，应尽快通知对方，双方均设法补偿。如仍无法履约合同，可协商延缓或撤销合同，双方责任免除</w:t>
      </w:r>
      <w:r>
        <w:rPr>
          <w:rFonts w:hint="eastAsia" w:ascii="仿宋" w:hAnsi="仿宋" w:eastAsia="仿宋" w:cs="仿宋"/>
          <w:bCs/>
          <w:kern w:val="0"/>
          <w:sz w:val="24"/>
          <w:szCs w:val="24"/>
          <w:highlight w:val="none"/>
        </w:rPr>
        <w:t>。</w:t>
      </w:r>
    </w:p>
    <w:p w14:paraId="04755328">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第十三条 其他（在合同中具体明确）</w:t>
      </w:r>
    </w:p>
    <w:p w14:paraId="127B668A">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本合同须经甲、乙双方的法定代表人（授权代表）在合同书上签字并加盖本单位公章后正式生效。</w:t>
      </w:r>
    </w:p>
    <w:p w14:paraId="604D2913">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合同生效后，甲、乙双方须严格执行本合同条款的规定，全面履行合同，违者按《中华人民共和国合同法》的有关规定承担相应责任。</w:t>
      </w:r>
    </w:p>
    <w:p w14:paraId="65CF84DE">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本合同一式</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份，甲方执</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份</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乙方各</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份。</w:t>
      </w:r>
    </w:p>
    <w:p w14:paraId="626CFBF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本合同如有未尽事宜，双方可根据具体情况结合有关规定另行签订补充协议，补充协议与本合同具有同等法律效力。</w:t>
      </w:r>
    </w:p>
    <w:p w14:paraId="21970E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正文完</w:t>
      </w:r>
      <w:r>
        <w:rPr>
          <w:rFonts w:hint="eastAsia" w:ascii="仿宋" w:hAnsi="仿宋" w:eastAsia="仿宋" w:cs="仿宋"/>
          <w:bCs/>
          <w:sz w:val="24"/>
          <w:szCs w:val="24"/>
          <w:highlight w:val="none"/>
          <w:lang w:eastAsia="zh-CN"/>
        </w:rPr>
        <w:t>）</w:t>
      </w:r>
    </w:p>
    <w:p w14:paraId="0E25D725">
      <w:pPr>
        <w:pStyle w:val="2"/>
        <w:rPr>
          <w:rFonts w:hint="eastAsia" w:ascii="仿宋" w:hAnsi="仿宋" w:eastAsia="仿宋" w:cs="仿宋"/>
          <w:bCs/>
          <w:sz w:val="24"/>
          <w:szCs w:val="24"/>
          <w:highlight w:val="none"/>
          <w:lang w:eastAsia="zh-CN"/>
        </w:rPr>
      </w:pPr>
    </w:p>
    <w:p w14:paraId="7B637AFF">
      <w:pPr>
        <w:rPr>
          <w:rFonts w:hint="eastAsia" w:ascii="仿宋" w:hAnsi="仿宋" w:eastAsia="仿宋" w:cs="仿宋"/>
          <w:bCs/>
          <w:sz w:val="24"/>
          <w:szCs w:val="24"/>
          <w:highlight w:val="none"/>
          <w:lang w:eastAsia="zh-CN"/>
        </w:rPr>
      </w:pPr>
    </w:p>
    <w:p w14:paraId="1C5155BC">
      <w:pPr>
        <w:pStyle w:val="2"/>
        <w:rPr>
          <w:rFonts w:hint="eastAsia"/>
          <w:highlight w:val="none"/>
          <w:lang w:eastAsia="zh-CN"/>
        </w:rPr>
      </w:pPr>
    </w:p>
    <w:tbl>
      <w:tblPr>
        <w:tblStyle w:val="7"/>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136F3E6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9B04C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pacing w:val="-20"/>
                <w:sz w:val="24"/>
                <w:szCs w:val="24"/>
                <w:highlight w:val="none"/>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pacing w:val="-20"/>
                <w:sz w:val="24"/>
                <w:szCs w:val="24"/>
                <w:highlight w:val="none"/>
              </w:rPr>
              <w:t>甲  方</w:t>
            </w:r>
          </w:p>
        </w:tc>
        <w:tc>
          <w:tcPr>
            <w:tcW w:w="4202" w:type="dxa"/>
            <w:noWrap w:val="0"/>
            <w:vAlign w:val="center"/>
          </w:tcPr>
          <w:p w14:paraId="37EC775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乙  方</w:t>
            </w:r>
          </w:p>
        </w:tc>
      </w:tr>
      <w:tr w14:paraId="067018F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9B6432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c>
          <w:tcPr>
            <w:tcW w:w="4202" w:type="dxa"/>
            <w:noWrap w:val="0"/>
            <w:vAlign w:val="center"/>
          </w:tcPr>
          <w:p w14:paraId="1FFFA90E">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r>
      <w:tr w14:paraId="77DD3E1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D06B590">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地址： </w:t>
            </w:r>
          </w:p>
        </w:tc>
        <w:tc>
          <w:tcPr>
            <w:tcW w:w="4202" w:type="dxa"/>
            <w:noWrap w:val="0"/>
            <w:vAlign w:val="center"/>
          </w:tcPr>
          <w:p w14:paraId="6899C49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地址：</w:t>
            </w:r>
          </w:p>
        </w:tc>
      </w:tr>
      <w:tr w14:paraId="487CBBB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1DA7870">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c>
          <w:tcPr>
            <w:tcW w:w="4202" w:type="dxa"/>
            <w:noWrap w:val="0"/>
            <w:vAlign w:val="center"/>
          </w:tcPr>
          <w:p w14:paraId="4C4A9259">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r>
      <w:tr w14:paraId="0F5F6DD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A886E3A">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法定代表人或被授权代表： </w:t>
            </w:r>
          </w:p>
        </w:tc>
        <w:tc>
          <w:tcPr>
            <w:tcW w:w="4202" w:type="dxa"/>
            <w:noWrap w:val="0"/>
            <w:vAlign w:val="center"/>
          </w:tcPr>
          <w:p w14:paraId="5EE33FA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法定代表人或被授权代表：</w:t>
            </w:r>
          </w:p>
        </w:tc>
      </w:tr>
      <w:tr w14:paraId="278B892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51EDCFB">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c>
          <w:tcPr>
            <w:tcW w:w="4202" w:type="dxa"/>
            <w:noWrap w:val="0"/>
            <w:vAlign w:val="center"/>
          </w:tcPr>
          <w:p w14:paraId="6219CAF0">
            <w:pPr>
              <w:autoSpaceDE w:val="0"/>
              <w:autoSpaceDN w:val="0"/>
              <w:adjustRightInd w:val="0"/>
              <w:spacing w:line="360" w:lineRule="auto"/>
              <w:ind w:left="600" w:hanging="600" w:hangingChars="300"/>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r>
      <w:tr w14:paraId="4846E8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91E156C">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c>
          <w:tcPr>
            <w:tcW w:w="4202" w:type="dxa"/>
            <w:noWrap w:val="0"/>
            <w:vAlign w:val="center"/>
          </w:tcPr>
          <w:p w14:paraId="0F7B930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r>
      <w:tr w14:paraId="49258B9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0C52BE2">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c>
          <w:tcPr>
            <w:tcW w:w="4202" w:type="dxa"/>
            <w:noWrap w:val="0"/>
            <w:vAlign w:val="center"/>
          </w:tcPr>
          <w:p w14:paraId="6377E4FF">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r>
      <w:tr w14:paraId="63F610F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008B79E">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c>
          <w:tcPr>
            <w:tcW w:w="4202" w:type="dxa"/>
            <w:noWrap w:val="0"/>
            <w:vAlign w:val="center"/>
          </w:tcPr>
          <w:p w14:paraId="2244297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r>
    </w:tbl>
    <w:p w14:paraId="6FBDF7A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04E477"/>
    <w:multiLevelType w:val="singleLevel"/>
    <w:tmpl w:val="F804E477"/>
    <w:lvl w:ilvl="0" w:tentative="0">
      <w:start w:val="8"/>
      <w:numFmt w:val="chineseCounting"/>
      <w:suff w:val="space"/>
      <w:lvlText w:val="第%1章"/>
      <w:lvlJc w:val="left"/>
      <w:rPr>
        <w:rFonts w:hint="eastAsia"/>
      </w:rPr>
    </w:lvl>
  </w:abstractNum>
  <w:abstractNum w:abstractNumId="1">
    <w:nsid w:val="4235E301"/>
    <w:multiLevelType w:val="singleLevel"/>
    <w:tmpl w:val="4235E30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8B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2025-09-01T10:09:55Z</dcterms:created>
  <dc:creator>Administrator</dc:creator>
  <cp:lastModifiedBy>doit</cp:lastModifiedBy>
  <dcterms:modified xsi:type="dcterms:W3CDTF">2025-09-01T10:09:59Z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BEB9449CEEC9422D9C97CFD1F8406576_12</vt:lpwstr>
  </property>
</Properties>
</file>