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5D1E03">
      <w:pPr>
        <w:shd w:val="clear" w:color="auto" w:fill="FFFFFF"/>
        <w:snapToGrid w:val="0"/>
        <w:spacing w:line="48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甲方：</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u w:val="single"/>
        </w:rPr>
        <w:t xml:space="preserve">                          </w:t>
      </w:r>
      <w:r>
        <w:rPr>
          <w:rFonts w:hint="eastAsia" w:ascii="仿宋_GB2312" w:hAnsi="仿宋_GB2312" w:eastAsia="仿宋_GB2312" w:cs="仿宋_GB2312"/>
          <w:sz w:val="24"/>
          <w:u w:val="single"/>
        </w:rPr>
        <w:t xml:space="preserve">       </w:t>
      </w:r>
    </w:p>
    <w:p w14:paraId="22764D8C">
      <w:pPr>
        <w:shd w:val="clear" w:color="auto" w:fill="FFFFFF"/>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乙方：</w:t>
      </w:r>
      <w:r>
        <w:rPr>
          <w:rFonts w:hint="eastAsia" w:ascii="仿宋_GB2312" w:hAnsi="仿宋_GB2312" w:eastAsia="仿宋_GB2312" w:cs="仿宋_GB2312"/>
          <w:sz w:val="24"/>
          <w:u w:val="single"/>
        </w:rPr>
        <w:t xml:space="preserve">                                    </w:t>
      </w:r>
    </w:p>
    <w:p w14:paraId="1992CCCC">
      <w:pPr>
        <w:shd w:val="clear" w:color="auto" w:fill="FFFFFF"/>
        <w:snapToGrid w:val="0"/>
        <w:spacing w:line="360" w:lineRule="auto"/>
        <w:ind w:firstLine="600" w:firstLineChars="250"/>
        <w:jc w:val="left"/>
        <w:rPr>
          <w:rFonts w:hint="eastAsia" w:ascii="仿宋_GB2312" w:hAnsi="仿宋_GB2312" w:eastAsia="仿宋_GB2312" w:cs="仿宋_GB2312"/>
          <w:sz w:val="24"/>
        </w:rPr>
      </w:pPr>
      <w:r>
        <w:rPr>
          <w:rFonts w:hint="eastAsia" w:ascii="仿宋_GB2312" w:hAnsi="仿宋_GB2312" w:eastAsia="仿宋_GB2312" w:cs="仿宋_GB2312"/>
          <w:sz w:val="24"/>
        </w:rPr>
        <w:t>依据《中华人民共和国</w:t>
      </w:r>
      <w:r>
        <w:rPr>
          <w:rFonts w:hint="eastAsia" w:ascii="仿宋_GB2312" w:hAnsi="仿宋_GB2312" w:eastAsia="仿宋_GB2312" w:cs="仿宋_GB2312"/>
          <w:sz w:val="24"/>
          <w:lang w:val="en-US" w:eastAsia="zh-CN"/>
        </w:rPr>
        <w:t>民法典</w:t>
      </w:r>
      <w:r>
        <w:rPr>
          <w:rFonts w:hint="eastAsia" w:ascii="仿宋_GB2312" w:hAnsi="仿宋_GB2312" w:eastAsia="仿宋_GB2312" w:cs="仿宋_GB2312"/>
          <w:sz w:val="24"/>
        </w:rPr>
        <w:t>》及其他有关法律法规，遵循平等、自愿、公平和诚实信用的原则，甲、乙双方就</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相关事项达成一致意见，订立本合同。</w:t>
      </w:r>
    </w:p>
    <w:p w14:paraId="1CEF7646">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一、项目范围</w:t>
      </w:r>
    </w:p>
    <w:p w14:paraId="6AEF1639">
      <w:pPr>
        <w:widowControl/>
        <w:spacing w:line="360" w:lineRule="auto"/>
        <w:ind w:firstLine="480" w:firstLineChars="200"/>
        <w:jc w:val="left"/>
        <w:rPr>
          <w:rFonts w:hint="eastAsia" w:ascii="仿宋_GB2312" w:hAnsi="仿宋_GB2312" w:eastAsia="仿宋" w:cs="仿宋_GB2312"/>
          <w:sz w:val="24"/>
          <w:u w:val="single"/>
          <w:lang w:val="en-US" w:eastAsia="zh-CN"/>
        </w:rPr>
      </w:pPr>
      <w:r>
        <w:rPr>
          <w:rFonts w:hint="eastAsia" w:ascii="仿宋_GB2312" w:hAnsi="仿宋_GB2312" w:eastAsia="仿宋_GB2312" w:cs="仿宋_GB2312"/>
          <w:sz w:val="24"/>
        </w:rPr>
        <w:t>本项目包括如下内容：</w:t>
      </w:r>
      <w:r>
        <w:rPr>
          <w:rFonts w:hint="eastAsia" w:ascii="仿宋_GB2312" w:hAnsi="仿宋_GB2312" w:eastAsia="仿宋_GB2312" w:cs="仿宋_GB2312"/>
          <w:sz w:val="24"/>
          <w:u w:val="single"/>
          <w:lang w:val="en-US" w:eastAsia="zh-CN"/>
        </w:rPr>
        <w:t xml:space="preserve">                   </w:t>
      </w:r>
      <w:r>
        <w:rPr>
          <w:rFonts w:hint="eastAsia" w:ascii="仿宋" w:hAnsi="仿宋" w:eastAsia="仿宋" w:cs="仿宋"/>
          <w:kern w:val="0"/>
          <w:sz w:val="24"/>
          <w:szCs w:val="24"/>
          <w:lang w:val="en-US" w:eastAsia="zh-CN" w:bidi="ar"/>
        </w:rPr>
        <w:t>。</w:t>
      </w:r>
    </w:p>
    <w:p w14:paraId="0BDA4C86">
      <w:pPr>
        <w:shd w:val="clear" w:color="auto" w:fill="FFFFFF"/>
        <w:tabs>
          <w:tab w:val="left" w:pos="425"/>
        </w:tabs>
        <w:snapToGrid w:val="0"/>
        <w:spacing w:line="360" w:lineRule="auto"/>
        <w:textAlignment w:val="baseline"/>
        <w:rPr>
          <w:rFonts w:hint="default"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rPr>
        <w:t>二、</w:t>
      </w:r>
      <w:r>
        <w:rPr>
          <w:rFonts w:hint="eastAsia" w:ascii="仿宋_GB2312" w:hAnsi="仿宋_GB2312" w:eastAsia="仿宋_GB2312" w:cs="仿宋_GB2312"/>
          <w:b/>
          <w:bCs/>
          <w:sz w:val="24"/>
          <w:highlight w:val="none"/>
          <w:lang w:val="en-US" w:eastAsia="zh-CN"/>
        </w:rPr>
        <w:t>服务期限</w:t>
      </w:r>
    </w:p>
    <w:p w14:paraId="6D1E3416">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 w:hAnsi="仿宋" w:eastAsia="仿宋" w:cs="仿宋"/>
          <w:i w:val="0"/>
          <w:iCs w:val="0"/>
          <w:caps w:val="0"/>
          <w:color w:val="auto"/>
          <w:spacing w:val="0"/>
          <w:sz w:val="24"/>
          <w:szCs w:val="24"/>
          <w:highlight w:val="none"/>
          <w:u w:val="single"/>
          <w:shd w:val="clear" w:color="auto" w:fill="FFFFFF"/>
          <w:lang w:val="en-US" w:eastAsia="zh-CN"/>
        </w:rPr>
        <w:t xml:space="preserve">                         </w:t>
      </w:r>
      <w:r>
        <w:rPr>
          <w:rFonts w:hint="eastAsia" w:ascii="仿宋_GB2312" w:hAnsi="仿宋_GB2312" w:eastAsia="仿宋_GB2312" w:cs="仿宋_GB2312"/>
          <w:sz w:val="24"/>
          <w:highlight w:val="none"/>
        </w:rPr>
        <w:t>。</w:t>
      </w:r>
      <w:bookmarkStart w:id="0" w:name="_GoBack"/>
      <w:bookmarkEnd w:id="0"/>
    </w:p>
    <w:p w14:paraId="340DDF3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三、合同文件及解释</w:t>
      </w:r>
    </w:p>
    <w:p w14:paraId="2C7A291D">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合同协议书</w:t>
      </w:r>
    </w:p>
    <w:p w14:paraId="5BED1FEC">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lang w:val="en-US" w:eastAsia="zh-CN"/>
        </w:rPr>
        <w:t>成交</w:t>
      </w:r>
      <w:r>
        <w:rPr>
          <w:rFonts w:hint="eastAsia" w:ascii="仿宋_GB2312" w:hAnsi="仿宋_GB2312" w:eastAsia="仿宋_GB2312" w:cs="仿宋_GB2312"/>
          <w:kern w:val="28"/>
          <w:sz w:val="24"/>
        </w:rPr>
        <w:t>通知书</w:t>
      </w:r>
    </w:p>
    <w:p w14:paraId="5265BD73">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lang w:val="en-US" w:eastAsia="zh-CN"/>
        </w:rPr>
        <w:t>竞争性磋商</w:t>
      </w:r>
      <w:r>
        <w:rPr>
          <w:rFonts w:hint="eastAsia" w:ascii="仿宋_GB2312" w:hAnsi="仿宋_GB2312" w:eastAsia="仿宋_GB2312" w:cs="仿宋_GB2312"/>
          <w:kern w:val="28"/>
          <w:sz w:val="24"/>
        </w:rPr>
        <w:t>文件及澄清补遗文件</w:t>
      </w:r>
    </w:p>
    <w:p w14:paraId="30169A2A">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lang w:val="en-US" w:eastAsia="zh-CN"/>
        </w:rPr>
        <w:t>成交</w:t>
      </w:r>
      <w:r>
        <w:rPr>
          <w:rFonts w:hint="eastAsia" w:ascii="仿宋_GB2312" w:hAnsi="仿宋_GB2312" w:eastAsia="仿宋_GB2312" w:cs="仿宋_GB2312"/>
          <w:kern w:val="28"/>
          <w:sz w:val="24"/>
        </w:rPr>
        <w:t>单位</w:t>
      </w:r>
      <w:r>
        <w:rPr>
          <w:rFonts w:hint="eastAsia" w:ascii="仿宋_GB2312" w:hAnsi="仿宋_GB2312" w:eastAsia="仿宋_GB2312" w:cs="仿宋_GB2312"/>
          <w:kern w:val="28"/>
          <w:sz w:val="24"/>
          <w:lang w:val="en-US" w:eastAsia="zh-CN"/>
        </w:rPr>
        <w:t>磋商响应</w:t>
      </w:r>
      <w:r>
        <w:rPr>
          <w:rFonts w:hint="eastAsia" w:ascii="仿宋_GB2312" w:hAnsi="仿宋_GB2312" w:eastAsia="仿宋_GB2312" w:cs="仿宋_GB2312"/>
          <w:kern w:val="28"/>
          <w:sz w:val="24"/>
        </w:rPr>
        <w:t>文件</w:t>
      </w:r>
    </w:p>
    <w:p w14:paraId="49033F40">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技术标准、规范。</w:t>
      </w:r>
    </w:p>
    <w:p w14:paraId="77405849">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其他合同文件</w:t>
      </w:r>
    </w:p>
    <w:p w14:paraId="767C520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四、合同价款、结算与支付</w:t>
      </w:r>
    </w:p>
    <w:p w14:paraId="5C183F95">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1、本合同总价款</w:t>
      </w:r>
    </w:p>
    <w:p w14:paraId="357170AA">
      <w:pPr>
        <w:spacing w:line="360" w:lineRule="auto"/>
        <w:ind w:left="1" w:firstLine="480" w:firstLineChars="200"/>
        <w:rPr>
          <w:rFonts w:hint="eastAsia" w:ascii="仿宋_GB2312" w:hAnsi="仿宋_GB2312" w:eastAsia="仿宋_GB2312" w:cs="仿宋_GB2312"/>
          <w:sz w:val="24"/>
          <w:highlight w:val="yellow"/>
        </w:rPr>
      </w:pPr>
      <w:r>
        <w:rPr>
          <w:rFonts w:hint="eastAsia" w:ascii="仿宋_GB2312" w:hAnsi="仿宋_GB2312" w:eastAsia="仿宋_GB2312" w:cs="仿宋_GB2312"/>
          <w:kern w:val="28"/>
          <w:sz w:val="24"/>
        </w:rPr>
        <w:t>本合同总价款为</w:t>
      </w:r>
      <w:r>
        <w:rPr>
          <w:rFonts w:hint="eastAsia" w:ascii="仿宋_GB2312" w:hAnsi="仿宋_GB2312" w:eastAsia="仿宋_GB2312" w:cs="仿宋_GB2312"/>
          <w:b/>
          <w:kern w:val="28"/>
          <w:sz w:val="24"/>
          <w:u w:val="single"/>
        </w:rPr>
        <w:t xml:space="preserve">RMB            </w:t>
      </w:r>
      <w:r>
        <w:rPr>
          <w:rFonts w:hint="eastAsia" w:ascii="仿宋_GB2312" w:hAnsi="仿宋_GB2312" w:eastAsia="仿宋_GB2312" w:cs="仿宋_GB2312"/>
          <w:b/>
          <w:kern w:val="28"/>
          <w:sz w:val="24"/>
          <w:highlight w:val="none"/>
          <w:u w:val="single"/>
        </w:rPr>
        <w:t>（人民币大写：         )</w:t>
      </w:r>
      <w:r>
        <w:rPr>
          <w:rFonts w:hint="eastAsia" w:ascii="仿宋_GB2312" w:hAnsi="仿宋_GB2312" w:eastAsia="仿宋_GB2312" w:cs="仿宋_GB2312"/>
          <w:kern w:val="28"/>
          <w:sz w:val="24"/>
          <w:highlight w:val="none"/>
        </w:rPr>
        <w:t>该合同总价包括</w:t>
      </w:r>
      <w:r>
        <w:rPr>
          <w:rFonts w:hint="eastAsia" w:ascii="仿宋_GB2312" w:hAnsi="仿宋_GB2312" w:eastAsia="仿宋_GB2312" w:cs="仿宋_GB2312"/>
          <w:kern w:val="28"/>
          <w:sz w:val="24"/>
          <w:highlight w:val="none"/>
          <w:lang w:val="en-US" w:eastAsia="zh-CN"/>
        </w:rPr>
        <w:t>：磋商报价应包含但不限与以下内容：人员费用、设备费、管理费、利润、风险费用、交通费、会议会务费、招标代理服务费、规费、税金及相关服务费用等</w:t>
      </w:r>
      <w:r>
        <w:rPr>
          <w:rFonts w:hint="eastAsia" w:ascii="仿宋_GB2312" w:hAnsi="仿宋_GB2312" w:eastAsia="仿宋_GB2312" w:cs="仿宋_GB2312"/>
          <w:sz w:val="24"/>
          <w:highlight w:val="none"/>
        </w:rPr>
        <w: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316"/>
        <w:gridCol w:w="1125"/>
        <w:gridCol w:w="947"/>
        <w:gridCol w:w="724"/>
        <w:gridCol w:w="988"/>
        <w:gridCol w:w="1161"/>
        <w:gridCol w:w="2089"/>
      </w:tblGrid>
      <w:tr w14:paraId="2D726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546CEEB3">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序号</w:t>
            </w:r>
          </w:p>
        </w:tc>
        <w:tc>
          <w:tcPr>
            <w:tcW w:w="1316" w:type="dxa"/>
            <w:noWrap w:val="0"/>
            <w:vAlign w:val="center"/>
          </w:tcPr>
          <w:p w14:paraId="29EEDE53">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服务名称</w:t>
            </w:r>
          </w:p>
        </w:tc>
        <w:tc>
          <w:tcPr>
            <w:tcW w:w="1125" w:type="dxa"/>
            <w:noWrap w:val="0"/>
            <w:vAlign w:val="center"/>
          </w:tcPr>
          <w:p w14:paraId="238AA4EF">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主要技术/服务指标</w:t>
            </w:r>
          </w:p>
        </w:tc>
        <w:tc>
          <w:tcPr>
            <w:tcW w:w="947" w:type="dxa"/>
            <w:noWrap w:val="0"/>
            <w:vAlign w:val="center"/>
          </w:tcPr>
          <w:p w14:paraId="6405CCF3">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单位</w:t>
            </w:r>
          </w:p>
        </w:tc>
        <w:tc>
          <w:tcPr>
            <w:tcW w:w="724" w:type="dxa"/>
            <w:noWrap w:val="0"/>
            <w:vAlign w:val="center"/>
          </w:tcPr>
          <w:p w14:paraId="0C3599C1">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数量</w:t>
            </w:r>
          </w:p>
        </w:tc>
        <w:tc>
          <w:tcPr>
            <w:tcW w:w="988" w:type="dxa"/>
            <w:noWrap w:val="0"/>
            <w:vAlign w:val="center"/>
          </w:tcPr>
          <w:p w14:paraId="3BDF2814">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单价（元）</w:t>
            </w:r>
          </w:p>
        </w:tc>
        <w:tc>
          <w:tcPr>
            <w:tcW w:w="1161" w:type="dxa"/>
            <w:noWrap w:val="0"/>
            <w:vAlign w:val="center"/>
          </w:tcPr>
          <w:p w14:paraId="1C1C816D">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合价（元）</w:t>
            </w:r>
          </w:p>
        </w:tc>
        <w:tc>
          <w:tcPr>
            <w:tcW w:w="2089" w:type="dxa"/>
            <w:noWrap w:val="0"/>
            <w:vAlign w:val="center"/>
          </w:tcPr>
          <w:p w14:paraId="642A2C3F">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备注</w:t>
            </w:r>
          </w:p>
        </w:tc>
      </w:tr>
      <w:tr w14:paraId="339D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2C6D304A">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1</w:t>
            </w:r>
          </w:p>
        </w:tc>
        <w:tc>
          <w:tcPr>
            <w:tcW w:w="1316" w:type="dxa"/>
            <w:noWrap w:val="0"/>
            <w:vAlign w:val="center"/>
          </w:tcPr>
          <w:p w14:paraId="290103A3">
            <w:pPr>
              <w:spacing w:line="440" w:lineRule="exact"/>
              <w:jc w:val="center"/>
              <w:rPr>
                <w:rFonts w:hint="eastAsia" w:ascii="仿宋_GB2312" w:hAnsi="仿宋_GB2312" w:eastAsia="仿宋_GB2312" w:cs="仿宋_GB2312"/>
                <w:bCs/>
                <w:sz w:val="24"/>
              </w:rPr>
            </w:pPr>
          </w:p>
        </w:tc>
        <w:tc>
          <w:tcPr>
            <w:tcW w:w="1125" w:type="dxa"/>
            <w:noWrap w:val="0"/>
            <w:vAlign w:val="center"/>
          </w:tcPr>
          <w:p w14:paraId="547449B2">
            <w:pPr>
              <w:spacing w:line="440" w:lineRule="exact"/>
              <w:jc w:val="center"/>
              <w:rPr>
                <w:rFonts w:hint="eastAsia" w:ascii="仿宋_GB2312" w:hAnsi="仿宋_GB2312" w:eastAsia="仿宋_GB2312" w:cs="仿宋_GB2312"/>
                <w:bCs/>
                <w:sz w:val="24"/>
              </w:rPr>
            </w:pPr>
          </w:p>
        </w:tc>
        <w:tc>
          <w:tcPr>
            <w:tcW w:w="947" w:type="dxa"/>
            <w:noWrap w:val="0"/>
            <w:vAlign w:val="center"/>
          </w:tcPr>
          <w:p w14:paraId="0F93351B">
            <w:pPr>
              <w:spacing w:line="440" w:lineRule="exact"/>
              <w:jc w:val="center"/>
              <w:rPr>
                <w:rFonts w:hint="eastAsia" w:ascii="仿宋_GB2312" w:hAnsi="仿宋_GB2312" w:eastAsia="仿宋_GB2312" w:cs="仿宋_GB2312"/>
                <w:bCs/>
                <w:sz w:val="24"/>
              </w:rPr>
            </w:pPr>
          </w:p>
        </w:tc>
        <w:tc>
          <w:tcPr>
            <w:tcW w:w="724" w:type="dxa"/>
            <w:noWrap w:val="0"/>
            <w:vAlign w:val="center"/>
          </w:tcPr>
          <w:p w14:paraId="2A221038">
            <w:pPr>
              <w:spacing w:line="440" w:lineRule="exact"/>
              <w:jc w:val="center"/>
              <w:rPr>
                <w:rFonts w:hint="eastAsia" w:ascii="仿宋_GB2312" w:hAnsi="仿宋_GB2312" w:eastAsia="仿宋_GB2312" w:cs="仿宋_GB2312"/>
                <w:bCs/>
                <w:sz w:val="24"/>
              </w:rPr>
            </w:pPr>
          </w:p>
        </w:tc>
        <w:tc>
          <w:tcPr>
            <w:tcW w:w="988" w:type="dxa"/>
            <w:noWrap w:val="0"/>
            <w:vAlign w:val="center"/>
          </w:tcPr>
          <w:p w14:paraId="7868712B">
            <w:pPr>
              <w:spacing w:line="440" w:lineRule="exact"/>
              <w:jc w:val="center"/>
              <w:rPr>
                <w:rFonts w:hint="eastAsia" w:ascii="仿宋_GB2312" w:hAnsi="仿宋_GB2312" w:eastAsia="仿宋_GB2312" w:cs="仿宋_GB2312"/>
                <w:bCs/>
                <w:sz w:val="24"/>
              </w:rPr>
            </w:pPr>
          </w:p>
        </w:tc>
        <w:tc>
          <w:tcPr>
            <w:tcW w:w="1161" w:type="dxa"/>
            <w:noWrap w:val="0"/>
            <w:vAlign w:val="center"/>
          </w:tcPr>
          <w:p w14:paraId="1CBA36BE">
            <w:pPr>
              <w:spacing w:line="440" w:lineRule="exact"/>
              <w:jc w:val="center"/>
              <w:rPr>
                <w:rFonts w:hint="eastAsia" w:ascii="仿宋_GB2312" w:hAnsi="仿宋_GB2312" w:eastAsia="仿宋_GB2312" w:cs="仿宋_GB2312"/>
                <w:bCs/>
                <w:sz w:val="24"/>
              </w:rPr>
            </w:pPr>
          </w:p>
        </w:tc>
        <w:tc>
          <w:tcPr>
            <w:tcW w:w="2089" w:type="dxa"/>
            <w:noWrap w:val="0"/>
            <w:vAlign w:val="center"/>
          </w:tcPr>
          <w:p w14:paraId="2451C759">
            <w:pPr>
              <w:spacing w:line="440" w:lineRule="exact"/>
              <w:jc w:val="center"/>
              <w:rPr>
                <w:rFonts w:hint="eastAsia" w:ascii="仿宋_GB2312" w:hAnsi="仿宋_GB2312" w:eastAsia="仿宋_GB2312" w:cs="仿宋_GB2312"/>
                <w:bCs/>
                <w:sz w:val="24"/>
              </w:rPr>
            </w:pPr>
          </w:p>
        </w:tc>
      </w:tr>
      <w:tr w14:paraId="053D2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43819927">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2</w:t>
            </w:r>
          </w:p>
        </w:tc>
        <w:tc>
          <w:tcPr>
            <w:tcW w:w="1316" w:type="dxa"/>
            <w:noWrap w:val="0"/>
            <w:vAlign w:val="center"/>
          </w:tcPr>
          <w:p w14:paraId="7CB215F8">
            <w:pPr>
              <w:spacing w:line="440" w:lineRule="exact"/>
              <w:jc w:val="center"/>
              <w:rPr>
                <w:rFonts w:hint="eastAsia" w:ascii="仿宋_GB2312" w:hAnsi="仿宋_GB2312" w:eastAsia="仿宋_GB2312" w:cs="仿宋_GB2312"/>
                <w:bCs/>
                <w:sz w:val="24"/>
              </w:rPr>
            </w:pPr>
          </w:p>
        </w:tc>
        <w:tc>
          <w:tcPr>
            <w:tcW w:w="1125" w:type="dxa"/>
            <w:noWrap w:val="0"/>
            <w:vAlign w:val="center"/>
          </w:tcPr>
          <w:p w14:paraId="3F3A58AA">
            <w:pPr>
              <w:spacing w:line="440" w:lineRule="exact"/>
              <w:jc w:val="center"/>
              <w:rPr>
                <w:rFonts w:hint="eastAsia" w:ascii="仿宋_GB2312" w:hAnsi="仿宋_GB2312" w:eastAsia="仿宋_GB2312" w:cs="仿宋_GB2312"/>
                <w:bCs/>
                <w:sz w:val="24"/>
              </w:rPr>
            </w:pPr>
          </w:p>
        </w:tc>
        <w:tc>
          <w:tcPr>
            <w:tcW w:w="947" w:type="dxa"/>
            <w:noWrap w:val="0"/>
            <w:vAlign w:val="center"/>
          </w:tcPr>
          <w:p w14:paraId="0FA020F3">
            <w:pPr>
              <w:spacing w:line="440" w:lineRule="exact"/>
              <w:jc w:val="center"/>
              <w:rPr>
                <w:rFonts w:hint="eastAsia" w:ascii="仿宋_GB2312" w:hAnsi="仿宋_GB2312" w:eastAsia="仿宋_GB2312" w:cs="仿宋_GB2312"/>
                <w:bCs/>
                <w:sz w:val="24"/>
              </w:rPr>
            </w:pPr>
          </w:p>
        </w:tc>
        <w:tc>
          <w:tcPr>
            <w:tcW w:w="724" w:type="dxa"/>
            <w:noWrap w:val="0"/>
            <w:vAlign w:val="center"/>
          </w:tcPr>
          <w:p w14:paraId="31CFBBA9">
            <w:pPr>
              <w:spacing w:line="440" w:lineRule="exact"/>
              <w:jc w:val="center"/>
              <w:rPr>
                <w:rFonts w:hint="eastAsia" w:ascii="仿宋_GB2312" w:hAnsi="仿宋_GB2312" w:eastAsia="仿宋_GB2312" w:cs="仿宋_GB2312"/>
                <w:bCs/>
                <w:sz w:val="24"/>
              </w:rPr>
            </w:pPr>
          </w:p>
        </w:tc>
        <w:tc>
          <w:tcPr>
            <w:tcW w:w="988" w:type="dxa"/>
            <w:noWrap w:val="0"/>
            <w:vAlign w:val="center"/>
          </w:tcPr>
          <w:p w14:paraId="5B2E255A">
            <w:pPr>
              <w:spacing w:line="440" w:lineRule="exact"/>
              <w:jc w:val="center"/>
              <w:rPr>
                <w:rFonts w:hint="eastAsia" w:ascii="仿宋_GB2312" w:hAnsi="仿宋_GB2312" w:eastAsia="仿宋_GB2312" w:cs="仿宋_GB2312"/>
                <w:bCs/>
                <w:sz w:val="24"/>
              </w:rPr>
            </w:pPr>
          </w:p>
        </w:tc>
        <w:tc>
          <w:tcPr>
            <w:tcW w:w="1161" w:type="dxa"/>
            <w:noWrap w:val="0"/>
            <w:vAlign w:val="center"/>
          </w:tcPr>
          <w:p w14:paraId="7A4E17C8">
            <w:pPr>
              <w:spacing w:line="440" w:lineRule="exact"/>
              <w:jc w:val="center"/>
              <w:rPr>
                <w:rFonts w:hint="eastAsia" w:ascii="仿宋_GB2312" w:hAnsi="仿宋_GB2312" w:eastAsia="仿宋_GB2312" w:cs="仿宋_GB2312"/>
                <w:bCs/>
                <w:sz w:val="24"/>
              </w:rPr>
            </w:pPr>
          </w:p>
        </w:tc>
        <w:tc>
          <w:tcPr>
            <w:tcW w:w="2089" w:type="dxa"/>
            <w:noWrap w:val="0"/>
            <w:vAlign w:val="center"/>
          </w:tcPr>
          <w:p w14:paraId="10E8AFAC">
            <w:pPr>
              <w:spacing w:line="440" w:lineRule="exact"/>
              <w:jc w:val="center"/>
              <w:rPr>
                <w:rFonts w:hint="eastAsia" w:ascii="仿宋_GB2312" w:hAnsi="仿宋_GB2312" w:eastAsia="仿宋_GB2312" w:cs="仿宋_GB2312"/>
                <w:bCs/>
                <w:sz w:val="24"/>
              </w:rPr>
            </w:pPr>
          </w:p>
        </w:tc>
      </w:tr>
      <w:tr w14:paraId="58485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08311D3E">
            <w:pPr>
              <w:spacing w:line="440" w:lineRule="exact"/>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合计金额（元）</w:t>
            </w:r>
          </w:p>
        </w:tc>
        <w:tc>
          <w:tcPr>
            <w:tcW w:w="1125" w:type="dxa"/>
            <w:noWrap w:val="0"/>
            <w:vAlign w:val="center"/>
          </w:tcPr>
          <w:p w14:paraId="53828A91">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大写</w:t>
            </w:r>
          </w:p>
        </w:tc>
        <w:tc>
          <w:tcPr>
            <w:tcW w:w="2659" w:type="dxa"/>
            <w:gridSpan w:val="3"/>
            <w:noWrap w:val="0"/>
            <w:vAlign w:val="center"/>
          </w:tcPr>
          <w:p w14:paraId="46F2EB85">
            <w:pPr>
              <w:spacing w:line="440" w:lineRule="exact"/>
              <w:jc w:val="center"/>
              <w:rPr>
                <w:rFonts w:hint="eastAsia" w:ascii="仿宋_GB2312" w:hAnsi="仿宋_GB2312" w:eastAsia="仿宋_GB2312" w:cs="仿宋_GB2312"/>
                <w:bCs/>
                <w:sz w:val="24"/>
              </w:rPr>
            </w:pPr>
          </w:p>
        </w:tc>
        <w:tc>
          <w:tcPr>
            <w:tcW w:w="1161" w:type="dxa"/>
            <w:noWrap w:val="0"/>
            <w:vAlign w:val="center"/>
          </w:tcPr>
          <w:p w14:paraId="2DE4B5F1">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小写</w:t>
            </w:r>
          </w:p>
        </w:tc>
        <w:tc>
          <w:tcPr>
            <w:tcW w:w="2089" w:type="dxa"/>
            <w:noWrap w:val="0"/>
            <w:vAlign w:val="center"/>
          </w:tcPr>
          <w:p w14:paraId="0D290EA0">
            <w:pPr>
              <w:spacing w:line="440" w:lineRule="exact"/>
              <w:jc w:val="center"/>
              <w:rPr>
                <w:rFonts w:hint="eastAsia" w:ascii="仿宋_GB2312" w:hAnsi="仿宋_GB2312" w:eastAsia="仿宋_GB2312" w:cs="仿宋_GB2312"/>
                <w:bCs/>
                <w:sz w:val="24"/>
              </w:rPr>
            </w:pPr>
          </w:p>
        </w:tc>
      </w:tr>
      <w:tr w14:paraId="0555C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06EA067A">
            <w:pPr>
              <w:spacing w:line="440" w:lineRule="exact"/>
              <w:jc w:val="center"/>
              <w:rPr>
                <w:rFonts w:hint="eastAsia" w:ascii="仿宋_GB2312" w:hAnsi="仿宋_GB2312" w:eastAsia="仿宋_GB2312" w:cs="仿宋_GB2312"/>
                <w:bCs/>
                <w:sz w:val="24"/>
                <w:lang w:eastAsia="zh-CN"/>
              </w:rPr>
            </w:pPr>
            <w:r>
              <w:rPr>
                <w:rFonts w:hint="eastAsia" w:ascii="仿宋_GB2312" w:hAnsi="仿宋_GB2312" w:eastAsia="仿宋_GB2312" w:cs="仿宋_GB2312"/>
                <w:bCs/>
                <w:sz w:val="24"/>
                <w:lang w:eastAsia="zh-CN"/>
              </w:rPr>
              <w:t>服务期限</w:t>
            </w:r>
          </w:p>
        </w:tc>
        <w:tc>
          <w:tcPr>
            <w:tcW w:w="7034" w:type="dxa"/>
            <w:gridSpan w:val="6"/>
            <w:noWrap w:val="0"/>
            <w:vAlign w:val="center"/>
          </w:tcPr>
          <w:p w14:paraId="2C839E43">
            <w:pPr>
              <w:spacing w:line="440" w:lineRule="exact"/>
              <w:jc w:val="center"/>
              <w:rPr>
                <w:rFonts w:hint="eastAsia" w:ascii="仿宋_GB2312" w:hAnsi="仿宋_GB2312" w:eastAsia="仿宋_GB2312" w:cs="仿宋_GB2312"/>
                <w:bCs/>
                <w:sz w:val="24"/>
              </w:rPr>
            </w:pPr>
          </w:p>
        </w:tc>
      </w:tr>
      <w:tr w14:paraId="527B9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5014ED69">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其它</w:t>
            </w:r>
          </w:p>
        </w:tc>
        <w:tc>
          <w:tcPr>
            <w:tcW w:w="7034" w:type="dxa"/>
            <w:gridSpan w:val="6"/>
            <w:noWrap w:val="0"/>
            <w:vAlign w:val="center"/>
          </w:tcPr>
          <w:p w14:paraId="0B269B7E">
            <w:pPr>
              <w:spacing w:line="440" w:lineRule="exact"/>
              <w:jc w:val="center"/>
              <w:rPr>
                <w:rFonts w:hint="eastAsia" w:ascii="仿宋_GB2312" w:hAnsi="仿宋_GB2312" w:eastAsia="仿宋_GB2312" w:cs="仿宋_GB2312"/>
                <w:bCs/>
                <w:sz w:val="24"/>
              </w:rPr>
            </w:pPr>
          </w:p>
        </w:tc>
      </w:tr>
    </w:tbl>
    <w:p w14:paraId="4FF51F6A">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2、付款方式:</w:t>
      </w:r>
    </w:p>
    <w:p w14:paraId="0C575C4B">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u w:val="single"/>
          <w:lang w:val="en-US" w:eastAsia="zh-CN"/>
        </w:rPr>
        <w:t>签订合同后支付合同金额的40%；项目验收合格后，支付合同金额的60%</w:t>
      </w:r>
      <w:r>
        <w:rPr>
          <w:rFonts w:hint="eastAsia" w:ascii="仿宋_GB2312" w:hAnsi="仿宋_GB2312" w:eastAsia="仿宋_GB2312" w:cs="仿宋_GB2312"/>
          <w:sz w:val="24"/>
          <w:highlight w:val="none"/>
        </w:rPr>
        <w:t>。</w:t>
      </w:r>
    </w:p>
    <w:p w14:paraId="5762B480">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五、权利与义务</w:t>
      </w:r>
    </w:p>
    <w:p w14:paraId="3082CB61">
      <w:pPr>
        <w:shd w:val="clear" w:color="auto" w:fill="FFFFFF"/>
        <w:tabs>
          <w:tab w:val="left" w:pos="425"/>
        </w:tabs>
        <w:snapToGrid w:val="0"/>
        <w:spacing w:line="360" w:lineRule="auto"/>
        <w:ind w:firstLine="241" w:firstLineChars="100"/>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（一）甲方的权利与义务</w:t>
      </w:r>
    </w:p>
    <w:p w14:paraId="01CC34B1">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1、甲方有权要求乙方服务的项目内容符合国家相关规范，符合国家验收标准，能够通过验收。</w:t>
      </w:r>
    </w:p>
    <w:p w14:paraId="3EBC6BF9">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2、甲方有权要求乙方配合甲方完成所采购服务内容的预验收工作以及正式验收工作。</w:t>
      </w:r>
    </w:p>
    <w:p w14:paraId="7DA0D4D4">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3、甲方有权要求乙方提供的服务所涉及的第三方权利进行免责。</w:t>
      </w:r>
    </w:p>
    <w:p w14:paraId="108C0D61">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4、甲方有义务保证按合同所规定的内容及时间支付乙方相关费用。</w:t>
      </w:r>
    </w:p>
    <w:p w14:paraId="204D7249">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5、甲方</w:t>
      </w:r>
      <w:r>
        <w:rPr>
          <w:rFonts w:hint="eastAsia" w:ascii="仿宋_GB2312" w:hAnsi="仿宋_GB2312" w:eastAsia="仿宋_GB2312" w:cs="仿宋_GB2312"/>
          <w:sz w:val="24"/>
        </w:rPr>
        <w:t>项目负责人为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p>
    <w:p w14:paraId="0DE6C3BD">
      <w:pPr>
        <w:shd w:val="clear" w:color="auto" w:fill="FFFFFF"/>
        <w:tabs>
          <w:tab w:val="left" w:pos="425"/>
        </w:tabs>
        <w:snapToGrid w:val="0"/>
        <w:spacing w:line="360" w:lineRule="auto"/>
        <w:ind w:firstLine="241" w:firstLineChars="100"/>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（二）乙方的权利与义务</w:t>
      </w:r>
    </w:p>
    <w:p w14:paraId="7D3B33FB">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1、乙方应</w:t>
      </w:r>
      <w:r>
        <w:rPr>
          <w:rFonts w:hint="eastAsia" w:ascii="仿宋_GB2312" w:hAnsi="仿宋_GB2312" w:eastAsia="仿宋_GB2312" w:cs="仿宋_GB2312"/>
          <w:sz w:val="24"/>
        </w:rPr>
        <w:t>按本合同的规定完成维护服务，并保证甲方工作正常运行。</w:t>
      </w:r>
    </w:p>
    <w:p w14:paraId="35D17CAB">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2、乙方有权要求甲方按照具体情况提供必要的服务条件</w:t>
      </w:r>
      <w:r>
        <w:rPr>
          <w:rFonts w:hint="eastAsia" w:ascii="仿宋_GB2312" w:hAnsi="仿宋_GB2312" w:eastAsia="仿宋_GB2312" w:cs="仿宋_GB2312"/>
          <w:sz w:val="24"/>
        </w:rPr>
        <w:t>。</w:t>
      </w:r>
    </w:p>
    <w:p w14:paraId="1F1CF803">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3、乙方有义务配合甲方参与项目的预验收、正式竣工验收工作，并确保所服务项目内容符合本项目质量标准。</w:t>
      </w:r>
    </w:p>
    <w:p w14:paraId="16CA28E3">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4、乙方</w:t>
      </w:r>
      <w:r>
        <w:rPr>
          <w:rFonts w:hint="eastAsia" w:ascii="仿宋_GB2312" w:hAnsi="仿宋_GB2312" w:eastAsia="仿宋_GB2312" w:cs="仿宋_GB2312"/>
          <w:sz w:val="24"/>
          <w:highlight w:val="none"/>
        </w:rPr>
        <w:t>项目负责人为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w:t>
      </w:r>
    </w:p>
    <w:p w14:paraId="25E65155">
      <w:pPr>
        <w:spacing w:line="360" w:lineRule="auto"/>
        <w:ind w:firstLine="480" w:firstLineChars="200"/>
        <w:rPr>
          <w:rFonts w:hint="default"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rPr>
        <w:t>5、</w:t>
      </w:r>
      <w:r>
        <w:rPr>
          <w:rFonts w:hint="eastAsia" w:ascii="仿宋_GB2312" w:hAnsi="仿宋_GB2312" w:eastAsia="仿宋_GB2312" w:cs="仿宋_GB2312"/>
          <w:sz w:val="24"/>
          <w:highlight w:val="none"/>
          <w:lang w:val="en-US" w:eastAsia="zh-CN"/>
        </w:rPr>
        <w:t>因不可抗力原因导致的机票损失和酒店损失，甲乙双方协商解决。</w:t>
      </w:r>
    </w:p>
    <w:p w14:paraId="5C8681C7">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6、</w:t>
      </w:r>
      <w:r>
        <w:rPr>
          <w:rFonts w:hint="eastAsia" w:ascii="仿宋_GB2312" w:hAnsi="仿宋_GB2312" w:eastAsia="仿宋_GB2312" w:cs="仿宋_GB2312"/>
          <w:sz w:val="24"/>
          <w:highlight w:val="none"/>
        </w:rPr>
        <w:t>在服务验收时，向买方提供相关技术文件。</w:t>
      </w:r>
    </w:p>
    <w:p w14:paraId="748588F7">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7</w:t>
      </w:r>
      <w:r>
        <w:rPr>
          <w:rFonts w:hint="eastAsia" w:ascii="仿宋_GB2312" w:hAnsi="仿宋_GB2312" w:eastAsia="仿宋_GB2312" w:cs="仿宋_GB2312"/>
          <w:sz w:val="24"/>
          <w:highlight w:val="none"/>
        </w:rPr>
        <w:t>、培训甲方或甲方指定的管理人员。</w:t>
      </w:r>
    </w:p>
    <w:p w14:paraId="08FB6BC5">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lang w:val="en-US" w:eastAsia="zh-CN"/>
        </w:rPr>
      </w:pPr>
      <w:r>
        <w:rPr>
          <w:rFonts w:hint="eastAsia" w:ascii="仿宋_GB2312" w:hAnsi="仿宋_GB2312" w:eastAsia="仿宋_GB2312" w:cs="仿宋_GB2312"/>
          <w:b/>
          <w:bCs/>
          <w:sz w:val="24"/>
        </w:rPr>
        <w:t>六、质量要求</w:t>
      </w:r>
    </w:p>
    <w:p w14:paraId="6A7F24C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严格执行国家及行业标准规范。</w:t>
      </w:r>
    </w:p>
    <w:p w14:paraId="162C4722">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七、</w:t>
      </w:r>
      <w:r>
        <w:rPr>
          <w:rFonts w:hint="eastAsia" w:ascii="仿宋_GB2312" w:hAnsi="仿宋_GB2312" w:eastAsia="仿宋_GB2312" w:cs="仿宋_GB2312"/>
          <w:b/>
          <w:bCs/>
          <w:sz w:val="24"/>
          <w:lang w:val="en-US" w:eastAsia="zh-CN"/>
        </w:rPr>
        <w:t>成果交付</w:t>
      </w:r>
      <w:r>
        <w:rPr>
          <w:rFonts w:hint="eastAsia" w:ascii="仿宋_GB2312" w:hAnsi="仿宋_GB2312" w:eastAsia="仿宋_GB2312" w:cs="仿宋_GB2312"/>
          <w:b/>
          <w:bCs/>
          <w:sz w:val="24"/>
        </w:rPr>
        <w:t>要求</w:t>
      </w:r>
    </w:p>
    <w:p w14:paraId="68F7DF43">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w:t>
      </w:r>
    </w:p>
    <w:p w14:paraId="28B432CA">
      <w:pPr>
        <w:spacing w:line="360" w:lineRule="auto"/>
        <w:ind w:left="-8"/>
        <w:rPr>
          <w:rFonts w:hint="eastAsia" w:ascii="仿宋_GB2312" w:hAnsi="仿宋_GB2312" w:eastAsia="仿宋_GB2312" w:cs="仿宋_GB2312"/>
          <w:b/>
          <w:bCs/>
          <w:sz w:val="24"/>
        </w:rPr>
      </w:pPr>
      <w:r>
        <w:rPr>
          <w:rFonts w:hint="eastAsia" w:ascii="仿宋_GB2312" w:hAnsi="仿宋_GB2312" w:eastAsia="仿宋_GB2312" w:cs="仿宋_GB2312"/>
          <w:b/>
          <w:bCs/>
          <w:sz w:val="24"/>
        </w:rPr>
        <w:t>八、服务地点</w:t>
      </w:r>
    </w:p>
    <w:p w14:paraId="1140A91D">
      <w:pPr>
        <w:shd w:val="clear" w:color="auto" w:fill="FFFFFF"/>
        <w:tabs>
          <w:tab w:val="left" w:pos="425"/>
        </w:tabs>
        <w:snapToGrid w:val="0"/>
        <w:spacing w:line="360" w:lineRule="auto"/>
        <w:textAlignment w:val="baseline"/>
        <w:rPr>
          <w:rFonts w:hint="eastAsia" w:ascii="仿宋_GB2312" w:hAnsi="仿宋_GB2312" w:eastAsia="仿宋_GB2312" w:cs="仿宋_GB2312"/>
          <w:bCs/>
          <w:sz w:val="24"/>
        </w:rPr>
      </w:pPr>
      <w:r>
        <w:rPr>
          <w:rFonts w:hint="eastAsia" w:ascii="仿宋_GB2312" w:hAnsi="仿宋_GB2312" w:eastAsia="仿宋_GB2312" w:cs="仿宋_GB2312"/>
          <w:bCs/>
          <w:sz w:val="24"/>
          <w:lang w:val="en-US" w:eastAsia="zh-CN"/>
        </w:rPr>
        <w:t xml:space="preserve">    西安市灞桥区</w:t>
      </w:r>
      <w:r>
        <w:rPr>
          <w:rFonts w:hint="eastAsia" w:ascii="仿宋_GB2312" w:hAnsi="仿宋_GB2312" w:eastAsia="仿宋_GB2312" w:cs="仿宋_GB2312"/>
          <w:bCs/>
          <w:sz w:val="24"/>
        </w:rPr>
        <w:t>。</w:t>
      </w:r>
    </w:p>
    <w:p w14:paraId="28576E0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九、保密条款</w:t>
      </w:r>
    </w:p>
    <w:p w14:paraId="0CCCBEFB">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双方承诺，除非法律另有规定或双方一致同意，任何一方不得将本协议的内容向第三方透露，否则，应向对方承担相应的违约责任。</w:t>
      </w:r>
    </w:p>
    <w:p w14:paraId="08AAF10D">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4B11E9BD">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786645F9">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十、违约责任</w:t>
      </w:r>
    </w:p>
    <w:p w14:paraId="5D65B351">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14:paraId="2577D9BF">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2、乙方应按照合同规定的期限完成系统建设，每延迟一天应承担当期应付款2‰的违约金，违约金累计不超过当期应付款10%。若违约金累计已达上限，乙方仍未履行，甲方有权解除合同。</w:t>
      </w:r>
    </w:p>
    <w:p w14:paraId="35587CD1">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kern w:val="28"/>
          <w:sz w:val="24"/>
        </w:rPr>
        <w:t>3</w:t>
      </w:r>
      <w:r>
        <w:rPr>
          <w:rFonts w:hint="eastAsia" w:ascii="仿宋_GB2312" w:hAnsi="仿宋_GB2312" w:eastAsia="仿宋_GB2312" w:cs="仿宋_GB2312"/>
          <w:sz w:val="24"/>
        </w:rPr>
        <w:t xml:space="preserve">、甲、乙双方中任何一方违反本合同第十条保密条款的，应当向相对方支付合同总价款 </w:t>
      </w:r>
      <w:r>
        <w:rPr>
          <w:rFonts w:hint="eastAsia" w:ascii="仿宋_GB2312" w:hAnsi="仿宋_GB2312" w:eastAsia="仿宋_GB2312" w:cs="仿宋_GB2312"/>
          <w:sz w:val="24"/>
          <w:u w:val="single"/>
        </w:rPr>
        <w:t>1 %</w:t>
      </w:r>
      <w:r>
        <w:rPr>
          <w:rFonts w:hint="eastAsia" w:ascii="仿宋_GB2312" w:hAnsi="仿宋_GB2312" w:eastAsia="仿宋_GB2312" w:cs="仿宋_GB2312"/>
          <w:sz w:val="24"/>
        </w:rPr>
        <w:t>的违约金。</w:t>
      </w:r>
    </w:p>
    <w:p w14:paraId="7EF91607">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4、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w:t>
      </w:r>
      <w:r>
        <w:rPr>
          <w:rFonts w:hint="eastAsia" w:ascii="仿宋_GB2312" w:hAnsi="仿宋_GB2312" w:eastAsia="仿宋_GB2312" w:cs="仿宋_GB2312"/>
          <w:sz w:val="24"/>
          <w:u w:val="single"/>
        </w:rPr>
        <w:t>责</w:t>
      </w:r>
      <w:r>
        <w:rPr>
          <w:rFonts w:hint="eastAsia" w:ascii="仿宋_GB2312" w:hAnsi="仿宋_GB2312" w:eastAsia="仿宋_GB2312" w:cs="仿宋_GB2312"/>
          <w:sz w:val="24"/>
        </w:rPr>
        <w:t xml:space="preserve">任，乙方还应向甲方承担合同总价款 </w:t>
      </w:r>
      <w:r>
        <w:rPr>
          <w:rFonts w:hint="eastAsia" w:ascii="仿宋_GB2312" w:hAnsi="仿宋_GB2312" w:eastAsia="仿宋_GB2312" w:cs="仿宋_GB2312"/>
          <w:sz w:val="24"/>
          <w:u w:val="single"/>
        </w:rPr>
        <w:t>1%</w:t>
      </w:r>
      <w:r>
        <w:rPr>
          <w:rFonts w:hint="eastAsia" w:ascii="仿宋_GB2312" w:hAnsi="仿宋_GB2312" w:eastAsia="仿宋_GB2312" w:cs="仿宋_GB2312"/>
          <w:sz w:val="24"/>
        </w:rPr>
        <w:t>的违约金，违约金不足以弥补给甲方造成的损失的，乙方还应当承担补足责任。</w:t>
      </w:r>
    </w:p>
    <w:p w14:paraId="5D448A23">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5、合同成立后，在任何一方无实质违约的情况下，未经相对方书面允许，任何一方不得单方撤销、中止、终止履行合同。</w:t>
      </w:r>
    </w:p>
    <w:p w14:paraId="67FBFDC8">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w:t>
      </w:r>
      <w:r>
        <w:rPr>
          <w:rFonts w:hint="eastAsia" w:ascii="仿宋_GB2312" w:hAnsi="仿宋_GB2312" w:eastAsia="仿宋_GB2312" w:cs="仿宋_GB2312"/>
          <w:b/>
          <w:bCs/>
          <w:sz w:val="24"/>
          <w:lang w:val="en-US" w:eastAsia="zh-CN"/>
        </w:rPr>
        <w:t>一</w:t>
      </w:r>
      <w:r>
        <w:rPr>
          <w:rFonts w:hint="eastAsia" w:ascii="仿宋_GB2312" w:hAnsi="仿宋_GB2312" w:eastAsia="仿宋_GB2312" w:cs="仿宋_GB2312"/>
          <w:b/>
          <w:bCs/>
          <w:sz w:val="24"/>
        </w:rPr>
        <w:t>、争议解决</w:t>
      </w:r>
    </w:p>
    <w:p w14:paraId="1285E607">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合同各方应本着诚信的态度及共同合作的精神，通过协商及谈判来努力解决由本合同而产生的或与本合同有关（包括本合同项下某一特定货物买卖合同）的任何争议及不同意见。协商、谈判不能解决的，任何一方</w:t>
      </w:r>
      <w:r>
        <w:rPr>
          <w:rFonts w:hint="eastAsia" w:ascii="仿宋_GB2312" w:hAnsi="仿宋_GB2312" w:eastAsia="仿宋_GB2312" w:cs="仿宋_GB2312"/>
          <w:sz w:val="24"/>
        </w:rPr>
        <w:t>均有权向甲方所在地人民法院提起诉讼。</w:t>
      </w:r>
    </w:p>
    <w:p w14:paraId="786ED4C5">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w:t>
      </w:r>
      <w:r>
        <w:rPr>
          <w:rFonts w:hint="eastAsia" w:ascii="仿宋_GB2312" w:hAnsi="仿宋_GB2312" w:eastAsia="仿宋_GB2312" w:cs="仿宋_GB2312"/>
          <w:b/>
          <w:bCs/>
          <w:sz w:val="24"/>
          <w:lang w:val="en-US" w:eastAsia="zh-CN"/>
        </w:rPr>
        <w:t>二</w:t>
      </w:r>
      <w:r>
        <w:rPr>
          <w:rFonts w:hint="eastAsia" w:ascii="仿宋_GB2312" w:hAnsi="仿宋_GB2312" w:eastAsia="仿宋_GB2312" w:cs="仿宋_GB2312"/>
          <w:b/>
          <w:bCs/>
          <w:sz w:val="24"/>
        </w:rPr>
        <w:t>、协议期限</w:t>
      </w:r>
    </w:p>
    <w:p w14:paraId="5C020667">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本协议从双方法定代表人或授权代表签字、盖章之日起生效。</w:t>
      </w:r>
    </w:p>
    <w:p w14:paraId="2A751A45">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w:t>
      </w:r>
      <w:r>
        <w:rPr>
          <w:rFonts w:hint="eastAsia" w:ascii="仿宋_GB2312" w:hAnsi="仿宋_GB2312" w:eastAsia="仿宋_GB2312" w:cs="仿宋_GB2312"/>
          <w:b/>
          <w:bCs/>
          <w:sz w:val="24"/>
          <w:lang w:val="en-US" w:eastAsia="zh-CN"/>
        </w:rPr>
        <w:t>三</w:t>
      </w:r>
      <w:r>
        <w:rPr>
          <w:rFonts w:hint="eastAsia" w:ascii="仿宋_GB2312" w:hAnsi="仿宋_GB2312" w:eastAsia="仿宋_GB2312" w:cs="仿宋_GB2312"/>
          <w:b/>
          <w:bCs/>
          <w:sz w:val="24"/>
        </w:rPr>
        <w:t>、不可抗力</w:t>
      </w:r>
    </w:p>
    <w:p w14:paraId="3D9C6955">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1、本合同项下的“不可抗力”是指不能预见，不能避免且不能克服的客观情况，使得本合同一方当事人无法履行合同义务，如战争、严重火灾、水灾、风灾和地震以及其他经三方同意属于不可抗力的事故。</w:t>
      </w:r>
    </w:p>
    <w:p w14:paraId="3E4B6F26">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07FE7AA1">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3、如不可抗力时间延续90天以上的，各方通过协商达成在合理的时间内继续履行合同，或部分履行合同，或终止合同的履行。</w:t>
      </w:r>
    </w:p>
    <w:p w14:paraId="0E69573A">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4、一方迟延履行后发生不可抗力的，不能免除责任。</w:t>
      </w:r>
    </w:p>
    <w:p w14:paraId="1CA9F164">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w:t>
      </w:r>
      <w:r>
        <w:rPr>
          <w:rFonts w:hint="eastAsia" w:ascii="仿宋_GB2312" w:hAnsi="仿宋_GB2312" w:eastAsia="仿宋_GB2312" w:cs="仿宋_GB2312"/>
          <w:b/>
          <w:bCs/>
          <w:sz w:val="24"/>
          <w:lang w:val="en-US" w:eastAsia="zh-CN"/>
        </w:rPr>
        <w:t>四</w:t>
      </w:r>
      <w:r>
        <w:rPr>
          <w:rFonts w:hint="eastAsia" w:ascii="仿宋_GB2312" w:hAnsi="仿宋_GB2312" w:eastAsia="仿宋_GB2312" w:cs="仿宋_GB2312"/>
          <w:b/>
          <w:bCs/>
          <w:sz w:val="24"/>
        </w:rPr>
        <w:t>、通知和合同修改</w:t>
      </w:r>
    </w:p>
    <w:p w14:paraId="2352E5A0">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本合同一方给另一方的通知，都应以书面的形式（信函、传真）发送至对方，对本合同条款进行任何改动，均须由甲乙双方签署书面合同修改或经济签证，方为有效。</w:t>
      </w:r>
    </w:p>
    <w:p w14:paraId="462C418B">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w:t>
      </w:r>
      <w:r>
        <w:rPr>
          <w:rFonts w:hint="eastAsia" w:ascii="仿宋_GB2312" w:hAnsi="仿宋_GB2312" w:eastAsia="仿宋_GB2312" w:cs="仿宋_GB2312"/>
          <w:b/>
          <w:bCs/>
          <w:sz w:val="24"/>
          <w:lang w:val="en-US" w:eastAsia="zh-CN"/>
        </w:rPr>
        <w:t>五</w:t>
      </w:r>
      <w:r>
        <w:rPr>
          <w:rFonts w:hint="eastAsia" w:ascii="仿宋_GB2312" w:hAnsi="仿宋_GB2312" w:eastAsia="仿宋_GB2312" w:cs="仿宋_GB2312"/>
          <w:b/>
          <w:bCs/>
          <w:sz w:val="24"/>
        </w:rPr>
        <w:t>、其他规定</w:t>
      </w:r>
    </w:p>
    <w:p w14:paraId="10F0CBD7">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593DEC40">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本合同甲、乙双方均同意以上条款内容。</w:t>
      </w:r>
    </w:p>
    <w:p w14:paraId="6D1D4F7B">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lang w:val="en-US" w:eastAsia="zh-CN"/>
        </w:rPr>
      </w:pPr>
      <w:r>
        <w:rPr>
          <w:rFonts w:hint="eastAsia" w:ascii="仿宋_GB2312" w:hAnsi="仿宋_GB2312" w:eastAsia="仿宋_GB2312" w:cs="仿宋_GB2312"/>
          <w:b/>
          <w:bCs/>
          <w:sz w:val="24"/>
          <w:lang w:val="en-US" w:eastAsia="zh-CN"/>
        </w:rPr>
        <w:t>十六、合同份数</w:t>
      </w:r>
    </w:p>
    <w:p w14:paraId="0AAF2188">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w:t>
      </w:r>
      <w:r>
        <w:rPr>
          <w:rFonts w:hint="eastAsia" w:ascii="仿宋_GB2312" w:hAnsi="仿宋_GB2312" w:eastAsia="仿宋_GB2312" w:cs="仿宋_GB2312"/>
          <w:kern w:val="28"/>
          <w:sz w:val="24"/>
          <w:lang w:val="en-US" w:eastAsia="zh-CN"/>
        </w:rPr>
        <w:t>一式</w:t>
      </w:r>
      <w:r>
        <w:rPr>
          <w:rFonts w:hint="eastAsia" w:ascii="仿宋_GB2312" w:hAnsi="仿宋_GB2312" w:eastAsia="仿宋_GB2312" w:cs="仿宋_GB2312"/>
          <w:kern w:val="28"/>
          <w:sz w:val="24"/>
          <w:u w:val="single"/>
          <w:lang w:val="en-US" w:eastAsia="zh-CN"/>
        </w:rPr>
        <w:t xml:space="preserve">    </w:t>
      </w:r>
      <w:r>
        <w:rPr>
          <w:rFonts w:hint="eastAsia" w:ascii="仿宋_GB2312" w:hAnsi="仿宋_GB2312" w:eastAsia="仿宋_GB2312" w:cs="仿宋_GB2312"/>
          <w:kern w:val="28"/>
          <w:sz w:val="24"/>
        </w:rPr>
        <w:t>份，具有同等效力。自双方授权代表签字、盖章之日起生效</w:t>
      </w:r>
      <w:r>
        <w:rPr>
          <w:rFonts w:hint="eastAsia" w:ascii="仿宋_GB2312" w:hAnsi="仿宋_GB2312" w:eastAsia="仿宋_GB2312" w:cs="仿宋_GB2312"/>
          <w:kern w:val="28"/>
          <w:sz w:val="24"/>
          <w:lang w:eastAsia="zh-CN"/>
        </w:rPr>
        <w:t>，</w:t>
      </w:r>
      <w:r>
        <w:rPr>
          <w:rFonts w:hint="eastAsia" w:ascii="仿宋_GB2312" w:hAnsi="仿宋_GB2312" w:eastAsia="仿宋_GB2312" w:cs="仿宋_GB2312"/>
          <w:kern w:val="28"/>
          <w:sz w:val="24"/>
        </w:rPr>
        <w:t>本合同的订立、履行、变更、终止、解释等均适用中华人民共和国法律。</w:t>
      </w:r>
    </w:p>
    <w:p w14:paraId="4CF7F125">
      <w:pPr>
        <w:shd w:val="clear" w:color="auto" w:fill="FFFFFF"/>
        <w:tabs>
          <w:tab w:val="left" w:pos="425"/>
        </w:tabs>
        <w:snapToGrid w:val="0"/>
        <w:spacing w:line="360" w:lineRule="auto"/>
        <w:textAlignment w:val="baseline"/>
        <w:rPr>
          <w:rFonts w:hint="default" w:ascii="仿宋_GB2312" w:hAnsi="仿宋_GB2312" w:eastAsia="仿宋_GB2312" w:cs="仿宋_GB2312"/>
          <w:b/>
          <w:bCs/>
          <w:sz w:val="24"/>
          <w:lang w:val="en-US" w:eastAsia="zh-CN"/>
        </w:rPr>
      </w:pPr>
      <w:r>
        <w:rPr>
          <w:rFonts w:hint="eastAsia" w:ascii="仿宋_GB2312" w:hAnsi="仿宋_GB2312" w:eastAsia="仿宋_GB2312" w:cs="仿宋_GB2312"/>
          <w:b/>
          <w:bCs/>
          <w:sz w:val="24"/>
          <w:lang w:val="en-US" w:eastAsia="zh-CN"/>
        </w:rPr>
        <w:t>十七、未尽事宜</w:t>
      </w:r>
    </w:p>
    <w:p w14:paraId="1727DF50">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本合同未尽事宜由双方共同协商，另行订立补充协议，补充协议与本协议具有同样的法律效力。如果本合同之附件与本合同规定不符, 以本合同规定为准。</w:t>
      </w:r>
    </w:p>
    <w:p w14:paraId="39F2AC54">
      <w:pPr>
        <w:shd w:val="clear" w:color="auto" w:fill="FFFFFF"/>
        <w:snapToGrid w:val="0"/>
        <w:spacing w:line="360" w:lineRule="auto"/>
        <w:ind w:firstLine="480" w:firstLineChars="200"/>
        <w:rPr>
          <w:rFonts w:hint="eastAsia" w:ascii="仿宋_GB2312" w:hAnsi="仿宋_GB2312" w:eastAsia="仿宋_GB2312" w:cs="仿宋_GB2312"/>
          <w:kern w:val="28"/>
          <w:sz w:val="24"/>
        </w:rPr>
      </w:pPr>
    </w:p>
    <w:p w14:paraId="2E1F0BE4">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（以下无正文）</w:t>
      </w:r>
    </w:p>
    <w:p w14:paraId="3EB408C0">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 xml:space="preserve">甲方： </w:t>
      </w:r>
    </w:p>
    <w:p w14:paraId="0DCEBA66">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法人代表或授权代表：</w:t>
      </w:r>
    </w:p>
    <w:p w14:paraId="5E44A8A2">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签署日期：   年  月  日</w:t>
      </w:r>
    </w:p>
    <w:p w14:paraId="7FF91299">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乙方：</w:t>
      </w:r>
    </w:p>
    <w:p w14:paraId="52A47418">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法人代表或授权代表：</w:t>
      </w:r>
    </w:p>
    <w:p w14:paraId="48C6724C">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签署日期：   年   月  日</w:t>
      </w:r>
    </w:p>
    <w:p w14:paraId="27FDD6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66596"/>
    <w:rsid w:val="105A290D"/>
    <w:rsid w:val="10741C20"/>
    <w:rsid w:val="1317796F"/>
    <w:rsid w:val="13EE3A98"/>
    <w:rsid w:val="1EF55009"/>
    <w:rsid w:val="23A3664D"/>
    <w:rsid w:val="2FB4573E"/>
    <w:rsid w:val="32CC7242"/>
    <w:rsid w:val="65FE0EE5"/>
    <w:rsid w:val="692F2F5C"/>
    <w:rsid w:val="6DA85BDA"/>
    <w:rsid w:val="7D3354C1"/>
    <w:rsid w:val="7FFB7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2025-09-15T08:24:26Z</dcterms:created>
  <dc:creator>Administrator</dc:creator>
  <cp:lastModifiedBy>QQQQ</cp:lastModifiedBy>
  <dcterms:modified xsi:type="dcterms:W3CDTF">2025-09-15T08:27:40Z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eyJoZGlkIjoiNmZlMDQwN2NiMDE0ZGM3OGQyMjI2MGI5NGMzYzk3YjEiLCJ1c2VySWQiOiIzODkzMjE1NzcifQ==</vt:lpwstr>
  </property>
  <property fmtid="{D5CDD505-2E9C-101B-9397-08002B2CF9AE}" pid="4" name="ICV">
    <vt:lpwstr>55E29130410748FDA9441C7459188B7D_12</vt:lpwstr>
  </property>
</Properties>
</file>