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版本号：HXGJXM2025-ZC-CS109120250925001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财政专网接入线路服务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HXGJXM2025-ZC-CS1091</w:t>
      </w:r>
      <w:r>
        <w:br/>
      </w:r>
      <w:r>
        <w:br/>
      </w:r>
      <w:r>
        <w:br/>
      </w:r>
    </w:p>
    <w:p>
      <w:pPr>
        <w:pStyle w:val="null3"/>
        <w:jc w:val="center"/>
        <w:outlineLvl w:val="2"/>
      </w:pPr>
      <w:r>
        <w:rPr>
          <w:rFonts w:ascii="仿宋_GB2312" w:hAnsi="仿宋_GB2312" w:cs="仿宋_GB2312" w:eastAsia="仿宋_GB2312"/>
          <w:sz w:val="28"/>
          <w:b/>
        </w:rPr>
        <w:t>西安市灞桥区财政局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西安市灞桥区财政局</w:t>
      </w:r>
      <w:r>
        <w:rPr>
          <w:rFonts w:ascii="仿宋_GB2312" w:hAnsi="仿宋_GB2312" w:cs="仿宋_GB2312" w:eastAsia="仿宋_GB2312"/>
        </w:rPr>
        <w:t>委托，拟对</w:t>
      </w:r>
      <w:r>
        <w:rPr>
          <w:rFonts w:ascii="仿宋_GB2312" w:hAnsi="仿宋_GB2312" w:cs="仿宋_GB2312" w:eastAsia="仿宋_GB2312"/>
        </w:rPr>
        <w:t>财政专网接入线路服务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财政专网接入线路服务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财政专网接入线路服务，服务期为2年，合同一年一签，本项目预算为一年预算。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负责人）授权书(附法定代表人（负责人）､被授权人身份证复印件及被授权人磋商截止日前一年内已缴存的至少一个月的社会保障资金凭证),法定代表人（负责人）直接参加磋商,须提供法定代表人（负责人）身份证明及身份证复印件;注：有行业特殊情况的银行、保险、电力、电信等法人分支机构，会计师、律师等非法人组织，行业协会等社会团体法人除外。</w:t>
      </w:r>
    </w:p>
    <w:p>
      <w:pPr>
        <w:pStyle w:val="null3"/>
      </w:pPr>
      <w:r>
        <w:rPr>
          <w:rFonts w:ascii="仿宋_GB2312" w:hAnsi="仿宋_GB2312" w:cs="仿宋_GB2312" w:eastAsia="仿宋_GB2312"/>
        </w:rPr>
        <w:t>2、供应商资质：供应商应具备《中华人民共和国基础电信业务经营许可证》，其服务项目中应包含数字光纤专用线路相关服务项目；</w:t>
      </w:r>
    </w:p>
    <w:p>
      <w:pPr>
        <w:pStyle w:val="null3"/>
      </w:pPr>
      <w:r>
        <w:rPr>
          <w:rFonts w:ascii="仿宋_GB2312" w:hAnsi="仿宋_GB2312" w:cs="仿宋_GB2312" w:eastAsia="仿宋_GB2312"/>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党小林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029-83553202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参照国家计委关于印发《招标代理服务收费管理暂行办法》（计价格[2002]1980号）的通知和国家发展和改革委员会办公厅颁发的《关于招标代理服务收费有关问题的通知》（发改办价格[2003]857号）的有关规定执行。 2.成交单位在领取成交通知书前,须向采购代理机构一次性支付招标代理服务费。 3.招标代理服务费由中标供应商支付,在领取《中标通知书》前,由中标供应商一次性支付给华夏国际项目管理（西安）有限公司｡ 招标代理服务费缴纳账户: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西安市灞桥区财政局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1、所验服务最终验收达不到磋商文件要求和响应文件承诺及国家或行业标准，或达不到采购人考评标准等，将视为验收不合格，供应商应在采购人要求的时间内无条件完善或要求赔付甲方损失。 2、若发现供应商有弄虚作假的，及在项目实施阶段故意或随意夸大服务，本合同解除，供应商赔偿采购人相应的损失。 3、验收标准：按磋商文件、响应文件等技术指标，以及采购人对供应商服务情况的考评进行逐项验收。各项指标均应符合验收标准及要求。 4、验收合格后，填写验收单，双方签字生效。 5、验收依据：（1）合同文本。（2）响应文件及磋商文件。（3）考核表。（4）国家和行业制定的相应的标准和规范。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联系人：王攀宏､康敏茹､陆文科､张艳萍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财政专网接入线路服务，服务期为2年，合同一年一签，本项目预算为一年预算。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本次财政专网光纤线路政府采购项目是为我区财政专网（城域网部分）寻求光纤专线运营服务提供商。</w:t>
            </w:r>
          </w:p>
          <w:p>
            <w:pPr>
              <w:pStyle w:val="null3"/>
              <w:ind w:firstLine="400"/>
            </w:pPr>
            <w:r>
              <w:rPr>
                <w:rFonts w:ascii="仿宋_GB2312" w:hAnsi="仿宋_GB2312" w:cs="仿宋_GB2312" w:eastAsia="仿宋_GB2312"/>
              </w:rPr>
              <w:t>我区财政专网采用数字光纤专用线路组建，线路带宽为</w:t>
            </w:r>
            <w:r>
              <w:rPr>
                <w:rFonts w:ascii="仿宋_GB2312" w:hAnsi="仿宋_GB2312" w:cs="仿宋_GB2312" w:eastAsia="仿宋_GB2312"/>
              </w:rPr>
              <w:t>2M或略高于2M，与互联网或其他网络物理隔离单独组网，线路应安全、可靠、稳定、故障率低，符合国家对专线线路的规范要求。线路B端地域范围为西安市灞桥区区划境内。线路数量目前在用142条，并根据实际需要调整，长期稳定于130条左右。</w:t>
            </w:r>
          </w:p>
          <w:p>
            <w:pPr>
              <w:pStyle w:val="null3"/>
            </w:pPr>
            <w:r>
              <w:rPr>
                <w:rFonts w:ascii="仿宋_GB2312" w:hAnsi="仿宋_GB2312" w:cs="仿宋_GB2312" w:eastAsia="仿宋_GB2312"/>
                <w:b/>
              </w:rPr>
              <w:t>二、</w:t>
            </w:r>
            <w:r>
              <w:rPr>
                <w:rFonts w:ascii="仿宋_GB2312" w:hAnsi="仿宋_GB2312" w:cs="仿宋_GB2312" w:eastAsia="仿宋_GB2312"/>
                <w:b/>
              </w:rPr>
              <w:t>服务内容</w:t>
            </w:r>
          </w:p>
          <w:p>
            <w:pPr>
              <w:pStyle w:val="null3"/>
            </w:pPr>
            <w:r>
              <w:rPr>
                <w:rFonts w:ascii="仿宋_GB2312" w:hAnsi="仿宋_GB2312" w:cs="仿宋_GB2312" w:eastAsia="仿宋_GB2312"/>
              </w:rPr>
              <w:t>1、2M或2M以上数字光纤专用线路单独组网，要求与互联网或其它网络物理隔离。</w:t>
            </w:r>
          </w:p>
          <w:p>
            <w:pPr>
              <w:pStyle w:val="null3"/>
            </w:pPr>
            <w:r>
              <w:rPr>
                <w:rFonts w:ascii="仿宋_GB2312" w:hAnsi="仿宋_GB2312" w:cs="仿宋_GB2312" w:eastAsia="仿宋_GB2312"/>
              </w:rPr>
              <w:t>2、</w:t>
            </w:r>
            <w:r>
              <w:rPr>
                <w:rFonts w:ascii="仿宋_GB2312" w:hAnsi="仿宋_GB2312" w:cs="仿宋_GB2312" w:eastAsia="仿宋_GB2312"/>
              </w:rPr>
              <w:t>所租用线路的维护、检修、故障排除，以及线路的新增、拆除、端点迁移服务。</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1、施工、实施技术人员工作时应遵守我单位《机关出入规定》、《机房管理制度》等相关管理制度和规定。</w:t>
            </w:r>
          </w:p>
          <w:p>
            <w:pPr>
              <w:pStyle w:val="null3"/>
            </w:pPr>
            <w:r>
              <w:rPr>
                <w:rFonts w:ascii="仿宋_GB2312" w:hAnsi="仿宋_GB2312" w:cs="仿宋_GB2312" w:eastAsia="仿宋_GB2312"/>
              </w:rPr>
              <w:t>2、项目实施前应提供详细实施方案和计划，并就可能影响网络运行的项目进行重点说明，提前制定应急措施。</w:t>
            </w:r>
          </w:p>
          <w:p>
            <w:pPr>
              <w:pStyle w:val="null3"/>
            </w:pPr>
            <w:r>
              <w:rPr>
                <w:rFonts w:ascii="仿宋_GB2312" w:hAnsi="仿宋_GB2312" w:cs="仿宋_GB2312" w:eastAsia="仿宋_GB2312"/>
              </w:rPr>
              <w:t>3、可能影响网络运行的项目实施前应与我方技术人员进行沟通，并共同做好准备工作，保障网络正常运行。</w:t>
            </w:r>
          </w:p>
          <w:p>
            <w:pPr>
              <w:pStyle w:val="null3"/>
              <w:jc w:val="both"/>
            </w:pPr>
            <w:r>
              <w:rPr>
                <w:rFonts w:ascii="仿宋_GB2312" w:hAnsi="仿宋_GB2312" w:cs="仿宋_GB2312" w:eastAsia="仿宋_GB2312"/>
                <w:sz w:val="21"/>
              </w:rPr>
              <w:t>4、签署保密协议，妥善保管相关信息、技术资料、文档，避免泄露，如因失误或故意导致信息泄露，承担相应责任。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本次专网线路采购服务期为2年，合同一年一签。合约期以线路施工完毕，调试、割接正常、验收合格时间为合约期起始时间。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1、所验服务最终验收达不到磋商文件要求和响应文件承诺及国家或行业标准，或达不到采购人考评标准等，将视为验收不合格，供应商应在采购人要求的时间内无条件完善或要求赔付甲方损失。 2、若发现供应商有弄虚作假的，及在项目实施阶段故意或随意夸大服务，本合同解除，供应商赔偿采购人相应的损失。 3、验收标准：按磋商文件、响应文件等技术指标，以及采购人对供应商服务情况的考评进行逐项验收。各项指标均应符合验收标准及要求。 4、验收合格后，填写验收单，双方签字生效。 5、验收依据：（1）合同文本。（2）响应文件及磋商文件。（3）考核表。（4）国家和行业制定的相应的标准和规范。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在项目验收完成，开始正常使用并计费后，按半年为付款周期，据实结算，由双方协商确定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供应商须为具有独立承担民事责任能力的法人、其他组织或自然人；出具合法有效的营业执照或其他组织经营的合法凭证，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授权书(附法定代表人（负责人）､被授权人身份证复印件及被授权人磋商截止日前一年内已缴存的至少一个月的社会保障资金凭证),法定代表人（负责人）直接参加磋商,须提供法定代表人（负责人）身份证明及身份证复印件;注：有行业特殊情况的银行、保险、电力、电信等法人分支机构，会计师、律师等非法人组织，行业协会等社会团体法人除外。</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供应商应具备《中华人民共和国基础电信业务经营许可证》，其服务项目中应包含数字光纤专用线路相关服务项目；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法定代表人（负责人）或被授权人的签字或盖章齐全并加盖公章</w:t>
            </w:r>
          </w:p>
        </w:tc>
        <w:tc>
          <w:tcPr>
            <w:tcW w:type="dxa" w:w="1661"/>
          </w:tcPr>
          <w:p>
            <w:pPr>
              <w:pStyle w:val="null3"/>
            </w:pPr>
            <w:r>
              <w:rPr>
                <w:rFonts w:ascii="仿宋_GB2312" w:hAnsi="仿宋_GB2312" w:cs="仿宋_GB2312" w:eastAsia="仿宋_GB2312"/>
              </w:rPr>
              <w:t>开标一览表.docx 其他费用表.docx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其他费用表.docx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其他费用表.docx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其他费用表.docx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其他费用表.docx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服务内容及要求</w:t>
            </w:r>
          </w:p>
        </w:tc>
        <w:tc>
          <w:tcPr>
            <w:tcW w:type="dxa" w:w="2492"/>
          </w:tcPr>
          <w:p>
            <w:pPr>
              <w:pStyle w:val="null3"/>
            </w:pPr>
            <w:r>
              <w:rPr>
                <w:rFonts w:ascii="仿宋_GB2312" w:hAnsi="仿宋_GB2312" w:cs="仿宋_GB2312" w:eastAsia="仿宋_GB2312"/>
              </w:rPr>
              <w:t>完全符合、响应磋商文件要求，没有负偏离的得6分，技术参数（共6项）负偏离一项扣1分，扣完为止。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总体服务方案根据本项目实际需求，从①项目实施规划、部署②组织协调方案③供货进度计划④实施方案，包括安装、调试、维护、检修、故障排除，以及线路的新增、拆除、端点迁移服务等⑤质量保障及处理措施（内容包括但不限于安全保障措施、采购环节控制、运输等）。方案各项内容全面详细、阐述条理清晰详尽、符合本项目采购需求，能有效保障本项目实施，得15分；每有一项缺项扣3分；每有一项内容存在缺陷，扣0.1-3分，扣完为止。 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服务进度安排计划</w:t>
            </w:r>
          </w:p>
        </w:tc>
        <w:tc>
          <w:tcPr>
            <w:tcW w:type="dxa" w:w="2492"/>
          </w:tcPr>
          <w:p>
            <w:pPr>
              <w:pStyle w:val="null3"/>
            </w:pPr>
            <w:r>
              <w:rPr>
                <w:rFonts w:ascii="仿宋_GB2312" w:hAnsi="仿宋_GB2312" w:cs="仿宋_GB2312" w:eastAsia="仿宋_GB2312"/>
              </w:rPr>
              <w:t>（1）服务进度安排清晰明确，合理科学，且有明确的进度保障措施得6分； （2）服务进度安排基本完整且具有进度保障措施 得4分； （3）服务进度安排方案简单粗略且无进度保障措施 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供应商具有明确的服务质量保障措施，且保障措施详细明确合理且可行性强，按其响应程度，得6分； 有质量保障措施， 且质量保障措施基本能保障项目服务质量，得4分； 无质量保障措施 或质量保障措施有明显缺陷，得2分;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针对本项目特点提出可能出现的紧急情况及对应的应急措施，评标委员会根据响应情况进行赋分。 应急措施能结合本项目实际情况，内容详细，针对性强，合理可行，能达到预期效果，得6分；应急措施基本满足项目要求，内容较完善合理，保障措施全面性、可行性一般，得4分； 措施一般，内容粗略，条理性差，可行性一般得2分； 措施没有针对性和指导性，内容不全面，与项目内容相关性较差的，得1分。未提供不得分。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进行赋分。人员保障措施详细、职责划分清晰、拟投入的人员能够满足供货要求及项目需求每项计2分；人员保障有欠缺、人员职责不明确、且配备的人员无法满足项目需求每项计1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提供针对本项目的保密承诺（包括：①保密制度②数据安全保密措施③泄密处罚制度④补救措施）。 以上4项内容完整、不存在瑕疵，得6分；每缺一项扣1.5分，存在瑕疵的一项扣0-1分，扣完为止。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售后服务保障承诺</w:t>
            </w:r>
          </w:p>
        </w:tc>
        <w:tc>
          <w:tcPr>
            <w:tcW w:type="dxa" w:w="2492"/>
          </w:tcPr>
          <w:p>
            <w:pPr>
              <w:pStyle w:val="null3"/>
            </w:pPr>
            <w:r>
              <w:rPr>
                <w:rFonts w:ascii="仿宋_GB2312" w:hAnsi="仿宋_GB2312" w:cs="仿宋_GB2312" w:eastAsia="仿宋_GB2312"/>
              </w:rPr>
              <w:t>针对本项目及采购人实际需求提供详细具体可行的售后服务保障承诺，包括组织保障、人员保障、设备保障、合同履行承诺等，并阐明可提供的咨询或后期服务内容。 服务保障承诺内容全面、形式多样、保障措施描述详细、涵盖范围广得8分； 服务保障承诺内容基本全面、有相对应的保障措施但描述不够详细，得6分； 服务保障承诺内容较全面、有相对应的保障措施但描述不够详细，得4分； 服务保障承诺内容笼统、形式单一、保障措施概括简单，得2分。未提供不得分。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维保服务</w:t>
            </w:r>
          </w:p>
        </w:tc>
        <w:tc>
          <w:tcPr>
            <w:tcW w:type="dxa" w:w="2492"/>
          </w:tcPr>
          <w:p>
            <w:pPr>
              <w:pStyle w:val="null3"/>
            </w:pPr>
            <w:r>
              <w:rPr>
                <w:rFonts w:ascii="仿宋_GB2312" w:hAnsi="仿宋_GB2312" w:cs="仿宋_GB2312" w:eastAsia="仿宋_GB2312"/>
              </w:rPr>
              <w:t>维保服务方案完整合理、服务网点充足，能优于响应采购需求及响应 时间、且故障处理及时，得6分； 维保服务方案完整合理、服务网点充足，能及时响应各使用单位的需求、且故障处理及时，得4分； 维保服务方案粗略简单，服务网点较少，响应及故障处理时间较长，得2分。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供应商提供2022年9月1日至今（以合同签订日期为准）类似项目业绩,每项业绩得1分，最高得5分。 注：业绩须提供合同复印件(加盖供应商公章)，原件备查；弄虚作假者取消其磋商、成交资格。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其他费用得分</w:t>
            </w:r>
          </w:p>
        </w:tc>
        <w:tc>
          <w:tcPr>
            <w:tcW w:type="dxa" w:w="2492"/>
          </w:tcPr>
          <w:p>
            <w:pPr>
              <w:pStyle w:val="null3"/>
            </w:pPr>
            <w:r>
              <w:rPr>
                <w:rFonts w:ascii="仿宋_GB2312" w:hAnsi="仿宋_GB2312" w:cs="仿宋_GB2312" w:eastAsia="仿宋_GB2312"/>
              </w:rPr>
              <w:t>1.以所有通过符合性审查的供应商的其他报价合计金额最高的为基准价，供应商其他报价合计金额等于基准价的得0分，其他报价合计金额报价为0元时得满分10分。 2.其他费用得分=（1-其他报价合计金额/基准价金额）×10。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其他费用表.docx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1、经初审合格的磋商响应文件，其磋商报价为有效磋商报价。对符合政策性扣减的有效投标报价进行政策性扣减，并依据扣减后的价格（评审价格）进行价格评审。2、满足磋商文件要求且投标单价最低 的有效投标的投标单价为评标基准价，其价格分为满分。 3、磋商报价得分=（磋商基准价单价/最终磋商报价单价）×20。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详见附件：其他费用表.docx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