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版本号：ZZGJZB-20250602620250903001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塘村发展壮大村集体经济项目（灞桥樱桃试验示范站项目）二期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ZZGJZB-202506026</w:t>
      </w:r>
      <w:r>
        <w:br/>
      </w:r>
      <w:r>
        <w:br/>
      </w:r>
      <w:r>
        <w:br/>
      </w:r>
    </w:p>
    <w:p>
      <w:pPr>
        <w:pStyle w:val="null3"/>
        <w:jc w:val="center"/>
        <w:outlineLvl w:val="2"/>
      </w:pPr>
      <w:r>
        <w:rPr>
          <w:rFonts w:ascii="仿宋_GB2312" w:hAnsi="仿宋_GB2312" w:cs="仿宋_GB2312" w:eastAsia="仿宋_GB2312"/>
          <w:sz w:val="28"/>
          <w:b/>
        </w:rPr>
        <w:t>西安市灞桥区农业农村局</w:t>
      </w:r>
    </w:p>
    <w:p>
      <w:pPr>
        <w:pStyle w:val="null3"/>
        <w:jc w:val="center"/>
        <w:outlineLvl w:val="2"/>
      </w:pPr>
      <w:r>
        <w:rPr>
          <w:rFonts w:ascii="仿宋_GB2312" w:hAnsi="仿宋_GB2312" w:cs="仿宋_GB2312" w:eastAsia="仿宋_GB2312"/>
          <w:sz w:val="28"/>
          <w:b/>
        </w:rPr>
        <w:t>西安中泽国际招标有限公司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西安中泽国际招标有限公司</w:t>
      </w:r>
      <w:r>
        <w:rPr>
          <w:rFonts w:ascii="仿宋_GB2312" w:hAnsi="仿宋_GB2312" w:cs="仿宋_GB2312" w:eastAsia="仿宋_GB2312"/>
        </w:rPr>
        <w:t>（以下简称“代理机构”）受</w:t>
      </w:r>
      <w:r>
        <w:rPr>
          <w:rFonts w:ascii="仿宋_GB2312" w:hAnsi="仿宋_GB2312" w:cs="仿宋_GB2312" w:eastAsia="仿宋_GB2312"/>
        </w:rPr>
        <w:t>西安市灞桥区农业农村局</w:t>
      </w:r>
      <w:r>
        <w:rPr>
          <w:rFonts w:ascii="仿宋_GB2312" w:hAnsi="仿宋_GB2312" w:cs="仿宋_GB2312" w:eastAsia="仿宋_GB2312"/>
        </w:rPr>
        <w:t>委托，拟对</w:t>
      </w:r>
      <w:r>
        <w:rPr>
          <w:rFonts w:ascii="仿宋_GB2312" w:hAnsi="仿宋_GB2312" w:cs="仿宋_GB2312" w:eastAsia="仿宋_GB2312"/>
        </w:rPr>
        <w:t>塘村发展壮大村集体经济项目（灞桥樱桃试验示范站项目）二期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ZZGJZB-202506026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塘村发展壮大村集体经济项目（灞桥樱桃试验示范站项目）二期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塘村发展壮大村集体经济项目（灞桥樱桃试验示范站项目）二期主要工程内容详见工程量清单及图纸所含全部内容。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采购包1（塘村发展壮大村集体经济项目（灞桥樱桃试验示范站项目）二期）：属于专门面向中小企业采购。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供应商具有良好的商业信誉和健全的财务会计制度：提供2024年度经审计的财务报告（成立时间至磋商截止时间不足一年的可提供成立后任意时段的资产负债表）或磋商截止时间前六个月内其基本账户银行出具的资信证明或政府采购信用担保机构出具的担保函；</w:t>
      </w:r>
    </w:p>
    <w:p>
      <w:pPr>
        <w:pStyle w:val="null3"/>
      </w:pPr>
      <w:r>
        <w:rPr>
          <w:rFonts w:ascii="仿宋_GB2312" w:hAnsi="仿宋_GB2312" w:cs="仿宋_GB2312" w:eastAsia="仿宋_GB2312"/>
        </w:rPr>
        <w:t>3、有依法缴纳税收的良好记录：税收缴纳证明提供磋商截止时间前一年内任意一个月的纳税证明或完税证明，依法免税的单位应提供相关证明材料；</w:t>
      </w:r>
    </w:p>
    <w:p>
      <w:pPr>
        <w:pStyle w:val="null3"/>
      </w:pPr>
      <w:r>
        <w:rPr>
          <w:rFonts w:ascii="仿宋_GB2312" w:hAnsi="仿宋_GB2312" w:cs="仿宋_GB2312" w:eastAsia="仿宋_GB2312"/>
        </w:rPr>
        <w:t>4、有依法缴纳社会保障资金的良好记录：社会保障资金缴纳证明提供磋商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5、供应商参加政府采购活动前三年内在经营活动中没有重大违法记录：供应商提供参加政府采购活动前三年内在经营活动中没有重大违法记录的书面声明；</w:t>
      </w:r>
    </w:p>
    <w:p>
      <w:pPr>
        <w:pStyle w:val="null3"/>
      </w:pPr>
      <w:r>
        <w:rPr>
          <w:rFonts w:ascii="仿宋_GB2312" w:hAnsi="仿宋_GB2312" w:cs="仿宋_GB2312" w:eastAsia="仿宋_GB2312"/>
        </w:rPr>
        <w:t>6、供应商具有履行合同所必需的设备和专业技术能力：供应商提供具有履行本合同所必需的设备和专业技术能力的说明及承诺；</w:t>
      </w:r>
    </w:p>
    <w:p>
      <w:pPr>
        <w:pStyle w:val="null3"/>
      </w:pPr>
      <w:r>
        <w:rPr>
          <w:rFonts w:ascii="仿宋_GB2312" w:hAnsi="仿宋_GB2312" w:cs="仿宋_GB2312" w:eastAsia="仿宋_GB2312"/>
        </w:rPr>
        <w:t>7、供应商应授权合法的人员参加磋商全过程：法定代表人直接参加磋商的，须出具法定代表人身份证明及身份证，法定代表人委托代理人参加磋商的，须出具法定代表人授权委托书及身份证；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8、供应商资质：供应商须具备建设行政主管部门颁发的建筑工程施工总承包三级及其以上资质，且具备建设行政主管部门核发的安全生产许可证；</w:t>
      </w:r>
    </w:p>
    <w:p>
      <w:pPr>
        <w:pStyle w:val="null3"/>
      </w:pPr>
      <w:r>
        <w:rPr>
          <w:rFonts w:ascii="仿宋_GB2312" w:hAnsi="仿宋_GB2312" w:cs="仿宋_GB2312" w:eastAsia="仿宋_GB2312"/>
        </w:rPr>
        <w:t>9、拟派项目经理：拟派项目经理须具备建筑工程专业二级及以上注册建造师证书及有效的安全生产考核合格证书（建安B证），在本单位注册且无在建工程（提供无在建项目承诺书）；</w:t>
      </w:r>
    </w:p>
    <w:p>
      <w:pPr>
        <w:pStyle w:val="null3"/>
      </w:pPr>
      <w:r>
        <w:rPr>
          <w:rFonts w:ascii="仿宋_GB2312" w:hAnsi="仿宋_GB2312" w:cs="仿宋_GB2312" w:eastAsia="仿宋_GB2312"/>
        </w:rPr>
        <w:t>10、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日网上查询结果为评审依据）；</w:t>
      </w:r>
    </w:p>
    <w:p>
      <w:pPr>
        <w:pStyle w:val="null3"/>
      </w:pPr>
      <w:r>
        <w:rPr>
          <w:rFonts w:ascii="仿宋_GB2312" w:hAnsi="仿宋_GB2312" w:cs="仿宋_GB2312" w:eastAsia="仿宋_GB2312"/>
        </w:rPr>
        <w:t>11、非联合体磋商：本项目不接受联合体磋商。单位负责人为同一人或者存在控股、管理关系的不同单位不得同时参加。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西安市灞桥区纺一路107号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029-83629600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西安中泽国际招标有限公司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西安市灞桥区纺西街华夏世纪广场A座1501室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029-83520200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采购包1：1,908,722.92元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及造价咨询服务费由成交供应商在领取《成交通知书》时，一次性足额向采购代理机构支付；2.收费依据：招标代理服务费以成交价作为基数，按照《国家计委关于印发&lt;招标代理服务收费管理暂行办法&gt;的通知》（计价格[2002]1980号）及《国家发展改革委办公厅关于招标代理服务收费有关问题的通知》（发改价格[2003]857号）文件的通知标准收取；造价咨询费按陕西省物价局及陕西省建设厅文件陕价行发[2014]88号文件规定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西安市灞桥区农业农村局</w:t>
      </w:r>
      <w:r>
        <w:rPr>
          <w:rFonts w:ascii="仿宋_GB2312" w:hAnsi="仿宋_GB2312" w:cs="仿宋_GB2312" w:eastAsia="仿宋_GB2312"/>
        </w:rPr>
        <w:t>和</w:t>
      </w:r>
      <w:r>
        <w:rPr>
          <w:rFonts w:ascii="仿宋_GB2312" w:hAnsi="仿宋_GB2312" w:cs="仿宋_GB2312" w:eastAsia="仿宋_GB2312"/>
        </w:rPr>
        <w:t>西安中泽国际招标有限公司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西安中泽国际招标有限公司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西安中泽国际招标有限公司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执行施工合同条款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西安中泽国际招标有限公司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西安中泽国际招标有限公司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西安中泽国际招标有限公司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联系人：马迪</w:t>
      </w:r>
    </w:p>
    <w:p>
      <w:pPr>
        <w:pStyle w:val="null3"/>
      </w:pPr>
      <w:r>
        <w:rPr>
          <w:rFonts w:ascii="仿宋_GB2312" w:hAnsi="仿宋_GB2312" w:cs="仿宋_GB2312" w:eastAsia="仿宋_GB2312"/>
        </w:rPr>
        <w:t>联系电话：029-83520200</w:t>
      </w:r>
    </w:p>
    <w:p>
      <w:pPr>
        <w:pStyle w:val="null3"/>
      </w:pPr>
      <w:r>
        <w:rPr>
          <w:rFonts w:ascii="仿宋_GB2312" w:hAnsi="仿宋_GB2312" w:cs="仿宋_GB2312" w:eastAsia="仿宋_GB2312"/>
        </w:rPr>
        <w:t>地址：西安市灞桥区纺西街华夏世纪广场A座1501室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1,908,722.92</w:t>
      </w:r>
    </w:p>
    <w:p>
      <w:pPr>
        <w:pStyle w:val="null3"/>
      </w:pPr>
      <w:r>
        <w:rPr>
          <w:rFonts w:ascii="仿宋_GB2312" w:hAnsi="仿宋_GB2312" w:cs="仿宋_GB2312" w:eastAsia="仿宋_GB2312"/>
        </w:rPr>
        <w:t>采购包最高限价（元）: 1,908,722.92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塘村发展壮大村集体经济项目（灞桥樱桃试验示范站项目）二期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1,908,722.92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标的名称：塘村发展壮大村集体经济项目（灞桥樱桃试验示范站项目）二期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塘村发展壮大村集体经济项目（灞桥樱桃试验示范站项目）二期主要工程内容详见工程量清单及图纸所含全部内容。</w:t>
            </w:r>
          </w:p>
          <w:p>
            <w:pPr>
              <w:pStyle w:val="null3"/>
            </w:pPr>
            <w:r>
              <w:rPr>
                <w:rFonts w:ascii="仿宋_GB2312" w:hAnsi="仿宋_GB2312" w:cs="仿宋_GB2312" w:eastAsia="仿宋_GB2312"/>
                <w:sz w:val="21"/>
              </w:rPr>
              <w:t>二、工程量清单编制依据：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．塘村发展壮大村集体经济项目（灞桥樱桃试验示范站项目）二期施工图纸；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．《陕西省建设工程工程量清单计价计算标准（</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．《陕西省房屋建筑与装饰工程消耗量定额（</w:t>
            </w:r>
            <w:r>
              <w:rPr>
                <w:rFonts w:ascii="仿宋_GB2312" w:hAnsi="仿宋_GB2312" w:cs="仿宋_GB2312" w:eastAsia="仿宋_GB2312"/>
                <w:sz w:val="21"/>
              </w:rPr>
              <w:t>2025</w:t>
            </w:r>
            <w:r>
              <w:rPr>
                <w:rFonts w:ascii="仿宋_GB2312" w:hAnsi="仿宋_GB2312" w:cs="仿宋_GB2312" w:eastAsia="仿宋_GB2312"/>
                <w:sz w:val="21"/>
              </w:rPr>
              <w:t>）》、《陕西省通用安装工程消耗量定额（</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．依据《陕西省建设工程费用规则（</w:t>
            </w:r>
            <w:r>
              <w:rPr>
                <w:rFonts w:ascii="仿宋_GB2312" w:hAnsi="仿宋_GB2312" w:cs="仿宋_GB2312" w:eastAsia="仿宋_GB2312"/>
                <w:sz w:val="21"/>
              </w:rPr>
              <w:t>2025</w:t>
            </w:r>
            <w:r>
              <w:rPr>
                <w:rFonts w:ascii="仿宋_GB2312" w:hAnsi="仿宋_GB2312" w:cs="仿宋_GB2312" w:eastAsia="仿宋_GB2312"/>
                <w:sz w:val="21"/>
              </w:rPr>
              <w:t>）》编制；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．与建设工程项目有关的标准、规范、图集、技术资料等；</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．正常施工组织设计及施工方法；</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．其它相关资料。</w:t>
            </w:r>
          </w:p>
          <w:p>
            <w:pPr>
              <w:pStyle w:val="null3"/>
              <w:jc w:val="both"/>
            </w:pPr>
            <w:r>
              <w:rPr>
                <w:rFonts w:ascii="仿宋_GB2312" w:hAnsi="仿宋_GB2312" w:cs="仿宋_GB2312" w:eastAsia="仿宋_GB2312"/>
                <w:sz w:val="21"/>
              </w:rPr>
              <w:t>三、编制范围</w:t>
            </w:r>
          </w:p>
          <w:p>
            <w:pPr>
              <w:pStyle w:val="null3"/>
              <w:jc w:val="both"/>
            </w:pPr>
            <w:r>
              <w:rPr>
                <w:rFonts w:ascii="仿宋_GB2312" w:hAnsi="仿宋_GB2312" w:cs="仿宋_GB2312" w:eastAsia="仿宋_GB2312"/>
                <w:sz w:val="21"/>
              </w:rPr>
              <w:t>该项目编制范围为塘村发展壮大村集体经济项目（灞桥樱桃试验示范站项目）二期结构、钢结构、强弱电、给排水。</w:t>
            </w:r>
          </w:p>
          <w:p>
            <w:pPr>
              <w:pStyle w:val="null3"/>
              <w:jc w:val="both"/>
            </w:pPr>
            <w:r>
              <w:rPr>
                <w:rFonts w:ascii="仿宋_GB2312" w:hAnsi="仿宋_GB2312" w:cs="仿宋_GB2312" w:eastAsia="仿宋_GB2312"/>
                <w:sz w:val="21"/>
              </w:rPr>
              <w:t>四、其他说明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．本工程暂列金按</w:t>
            </w:r>
            <w:r>
              <w:rPr>
                <w:rFonts w:ascii="仿宋_GB2312" w:hAnsi="仿宋_GB2312" w:cs="仿宋_GB2312" w:eastAsia="仿宋_GB2312"/>
                <w:sz w:val="21"/>
              </w:rPr>
              <w:t>157552.41</w:t>
            </w:r>
            <w:r>
              <w:rPr>
                <w:rFonts w:ascii="仿宋_GB2312" w:hAnsi="仿宋_GB2312" w:cs="仿宋_GB2312" w:eastAsia="仿宋_GB2312"/>
                <w:sz w:val="21"/>
              </w:rPr>
              <w:t>元在其他项目中计入；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．室外工程及农器具设备暂按</w:t>
            </w:r>
            <w:r>
              <w:rPr>
                <w:rFonts w:ascii="仿宋_GB2312" w:hAnsi="仿宋_GB2312" w:cs="仿宋_GB2312" w:eastAsia="仿宋_GB2312"/>
                <w:sz w:val="21"/>
              </w:rPr>
              <w:t>180000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项计入</w:t>
            </w:r>
            <w:r>
              <w:rPr>
                <w:rFonts w:ascii="仿宋_GB2312" w:hAnsi="仿宋_GB2312" w:cs="仿宋_GB2312" w:eastAsia="仿宋_GB2312"/>
                <w:sz w:val="21"/>
              </w:rPr>
              <w:t>4#</w:t>
            </w:r>
            <w:r>
              <w:rPr>
                <w:rFonts w:ascii="仿宋_GB2312" w:hAnsi="仿宋_GB2312" w:cs="仿宋_GB2312" w:eastAsia="仿宋_GB2312"/>
                <w:sz w:val="21"/>
              </w:rPr>
              <w:t>大棚</w:t>
            </w:r>
            <w:r>
              <w:rPr>
                <w:rFonts w:ascii="仿宋_GB2312" w:hAnsi="仿宋_GB2312" w:cs="仿宋_GB2312" w:eastAsia="仿宋_GB2312"/>
                <w:sz w:val="21"/>
              </w:rPr>
              <w:t>-</w:t>
            </w:r>
            <w:r>
              <w:rPr>
                <w:rFonts w:ascii="仿宋_GB2312" w:hAnsi="仿宋_GB2312" w:cs="仿宋_GB2312" w:eastAsia="仿宋_GB2312"/>
                <w:sz w:val="21"/>
              </w:rPr>
              <w:t>土建工程专业工程暂估价内；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．本工程基础土方开挖工作面按定额说明</w:t>
            </w:r>
            <w:r>
              <w:rPr>
                <w:rFonts w:ascii="仿宋_GB2312" w:hAnsi="仿宋_GB2312" w:cs="仿宋_GB2312" w:eastAsia="仿宋_GB2312"/>
                <w:sz w:val="21"/>
              </w:rPr>
              <w:t>600mm</w:t>
            </w:r>
            <w:r>
              <w:rPr>
                <w:rFonts w:ascii="仿宋_GB2312" w:hAnsi="仿宋_GB2312" w:cs="仿宋_GB2312" w:eastAsia="仿宋_GB2312"/>
                <w:sz w:val="21"/>
              </w:rPr>
              <w:t>考虑计入；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．本工程钢结构按现场制作安装考虑计入；</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．本工程缓冲间保温考虑，塑钢窗玻璃材质暂按</w:t>
            </w:r>
            <w:r>
              <w:rPr>
                <w:rFonts w:ascii="仿宋_GB2312" w:hAnsi="仿宋_GB2312" w:cs="仿宋_GB2312" w:eastAsia="仿宋_GB2312"/>
                <w:sz w:val="21"/>
              </w:rPr>
              <w:t>85</w:t>
            </w:r>
            <w:r>
              <w:rPr>
                <w:rFonts w:ascii="仿宋_GB2312" w:hAnsi="仿宋_GB2312" w:cs="仿宋_GB2312" w:eastAsia="仿宋_GB2312"/>
                <w:sz w:val="21"/>
              </w:rPr>
              <w:t>系列中空玻璃计入，可根据建设单位意见进行调整；</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．本工程缓冲间防盗门等级暂按甲级防盗门计入，可根据建设单位意见进行调整；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．本工程混凝土全部采用商品混凝土；</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．本工程采用广联达云计价平台</w:t>
            </w:r>
            <w:r>
              <w:rPr>
                <w:rFonts w:ascii="仿宋_GB2312" w:hAnsi="仿宋_GB2312" w:cs="仿宋_GB2312" w:eastAsia="仿宋_GB2312"/>
                <w:sz w:val="21"/>
              </w:rPr>
              <w:t>GCCP7.0</w:t>
            </w:r>
            <w:r>
              <w:rPr>
                <w:rFonts w:ascii="仿宋_GB2312" w:hAnsi="仿宋_GB2312" w:cs="仿宋_GB2312" w:eastAsia="仿宋_GB2312"/>
                <w:sz w:val="21"/>
              </w:rPr>
              <w:t>版本</w:t>
            </w:r>
            <w:r>
              <w:rPr>
                <w:rFonts w:ascii="仿宋_GB2312" w:hAnsi="仿宋_GB2312" w:cs="仿宋_GB2312" w:eastAsia="仿宋_GB2312"/>
                <w:sz w:val="21"/>
              </w:rPr>
              <w:t>7.5000.23.1</w:t>
            </w:r>
            <w:r>
              <w:rPr>
                <w:rFonts w:ascii="仿宋_GB2312" w:hAnsi="仿宋_GB2312" w:cs="仿宋_GB2312" w:eastAsia="仿宋_GB2312"/>
                <w:sz w:val="21"/>
              </w:rPr>
              <w:t>编制。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详见附件</w:t>
            </w:r>
            <w:r>
              <w:rPr>
                <w:rFonts w:ascii="仿宋_GB2312" w:hAnsi="仿宋_GB2312" w:cs="仿宋_GB2312" w:eastAsia="仿宋_GB2312"/>
                <w:sz w:val="21"/>
              </w:rPr>
              <w:t>“工程量清单”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一、项目概况及采购内容：塘村发展壮大村集体经济项目（灞桥樱桃试验示范站项目）二期，主要工程内容详见工程量清单及图纸所含全部内容。二、工期：合同签订之日起 60日历天； 三、质量标准：达到国家现行施工验收规范“合格”标准。四、付款方式： （1）工程进度款(含已支付的安全文明施工措施费)累计支付至合同暂定总价款的 85%时暂停支付，竣工结算审定并经双方确认后支付至结算审定价款的97%，剩余 3%待质保期结束后无息支付；（2）每期付款时供应商提供等额发票申请款项。 五、运输、进度：成交单位负责施工过程中材料的运输等。 六、竣工验收 （1）竣工须达到的标准和具备工程验收的条件。（2）工程验收规范、标准，验收的组织实施。（3）工程验收合格须移交的工程资料和竣工图纸等。（4）缺陷责任期（工程质量保修期）：工程竣工验收合格后1年。七、验收依据 （1）合同文本及合同补充文件（条款）。（2）磋商文件（3）成交单位的磋商响应文件。（4）国家相关法律法规。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成立时间至磋商截止时间不足一年的可提供成立后任意时段的资产负债表）或磋商截止时间前六个月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提供2024年度经审计的财务报告（成立时间至磋商截止时间不足一年的可提供成立后任意时段的资产负债表）或磋商截止时间前六个月内其基本账户银行出具的资信证明或政府采购信用担保机构出具的担保函；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税收缴纳证明提供磋商截止时间前一年内任意一个月的纳税证明或完税证明，依法免税的单位应提供相关证明材料；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社会保障资金缴纳证明提供磋商截止时间前一年内任意一个月的社会保障资金缴存单据或社保机构开具的社会保险参保缴费情况证明，依法不需要缴纳社会保障资金的单位应提供相关证明材料；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供应商须具备建设行政主管部门颁发的建筑工程施工总承包三级及其以上资质，且具备建设行政主管部门核发的安全生产许可证；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拟派项目经理须具备建筑工程专业二级及以上注册建造师证书及有效的安全生产考核合格证书（建安B证），在本单位注册且无在建工程（提供无在建项目承诺书）；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日网上查询结果为评审依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 完全一致： （1）竞争性磋商响应文件封面 （2）响应函 （3）授权委托书\身份证明</w:t>
            </w:r>
          </w:p>
        </w:tc>
        <w:tc>
          <w:tcPr>
            <w:tcW w:type="dxa" w:w="1661"/>
          </w:tcPr>
          <w:p>
            <w:pPr>
              <w:pStyle w:val="null3"/>
            </w:pPr>
            <w:r>
              <w:rPr>
                <w:rFonts w:ascii="仿宋_GB2312" w:hAnsi="仿宋_GB2312" w:cs="仿宋_GB2312" w:eastAsia="仿宋_GB2312"/>
              </w:rPr>
              <w:t>响应文件封面 法定代表人身份证明及法定代表人授权委托书.docx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响应文件封面 法定代表人身份证明及法定代表人授权委托书.docx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 磋商文件要求 （2）报价符合唯一性要求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 求，且未含有采购人不能接受的附加条件。</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针对本项目内容提出适用于本项目的施工方案，方案包括：①具体施工方案；②施工场地管理方案；③场地人员管理方案。二、评审标准 1.完整性：方案全面，对评审内容中的各项要求有详细描述；2.针对性：方案紧扣项目实际情况，内容科学合理；3.可实施性：切合本项目实际情况，提出步骤清晰、合理的方案。 三、赋分标准（满分9分） ①具体施工方案：每完全满足一个评审标准得1分；针对评审标准存在有不合理处的得0.5分；内容与本项目无关或未提供的得0分。②施工场地管理方案：每完全满足一个评审标准得1分；针对评审标准存在有不合理处的得0.5分；内容与本项目无关或未提供的得0分。③场地人员管理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针对本项目内容提出适用于本项目的确保工期的技术组织措施。二、评审标准 1.完整性：措施全面，对评审内容中的各项要求有详细描述；2.针对性：措施紧扣项目实际情况，内容科学合理；3.可实施性：切合本项目实际情况，提出步骤清晰、合理的措施。 三、赋分标准（满分3分） 确保工期的技术组织措施：每完全满足一个评审标准得1分；针对评审标准存在有不合理处的得0.5分；内容与本项目无关或未提供的得0分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针对本项目内容提出适用于本项目的确保工程质量的技术组织措施。二、评审标准 1.完整性：措施全面，对评审内容中的各项要求有详细描述；2.针对性：措施紧扣项目实际情况，内容科学合理；3.可实施性：切合本项目实际情况，提出步骤清晰、合理的措施。 三、赋分标准（满分3分） 确保工程质量的技术组织措施：每完全满足一个评审标准得1分；针对评审标准存在有不合理处的得0.5分；内容与本项目无关或未提供的得0分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针对本项目内容提出适用于本项目的应急预案，包括：①人员事故应急预案；②突发暴雨、大风、大雾等特殊天气的应急预案。二、评审标准 1.完整性：方案全面，对评审内容中的各项要求有详细描述；2.针对性：方案紧扣项目实际情况，内容科学合理；3.可实施性：切合本项目实际情况，提出步骤清晰、合理的方案。 三、赋分标准（满分6分） ①人员事故应急预案：每完全满足一个评审标准得1分；针对评审标准存在有不合理处的得0.5分；内容与本项目无关或未提供的得0分。 ②突发暴雨、大风、大雾等特殊天气的应急预案：每完全满足一个评审标准得1分；针对评审标准存在有不合理处的得0.5分；内容与本项目无关或未提供的得0分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针对本项目内容提出适用于本项目的确保文明施工的技术组织措施。二、评审标准 1.完整性：措施全面，对评审内容中的各项要求有详细描述；2.针对性：措施紧扣项目实际情况，内容科学合理；3.可实施性：切合本项目实际情况，提出步骤清晰、合理的措施。 三、赋分标准（满分3分） 确保文明施工的技术组织措施：每完全满足一个评审标准得1分；针对评审标准存在有不合理处的得0.5分；内容与本项目无关或未提供的得0分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针对本项目内容提出适用于本项目的确保安全生产技术组织措施，包括：①施工人员安全培训措施；②设施、设备安全检查措施；③安全施工措施。二、评审标准 1.完整性：措施全面，对评审内容中的各项要求有详细描述；2.针对性：措施紧扣项目实际情况，内容科学合理；3.可实施性：切合本项目实际情况，提出步骤清晰、合理的措施。 三、赋分标准（满分9分） ①施工人员安全培训措施：每完全满足一个评审标准得1分；针对评审标准存在有不合理处的得0.5分；内容与本项目无关或未提供的得0分。 ②设施、设备安全检查措施：每完全满足一个评审标准得1分；针对评审标准存在有不合理处的得0.5分；内容与本项目无关或未提供的得0分。 ③安全施工措施：每完全满足一个评审标准得1分；针对评审标准存在有不合理处的得0.5分；内容与本项目无关或未提供的得0分。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一、评审内容 针对本项目内容提出适用于本项目的施工组织和项目管理机构，方案包括：①施工组织方案； ②项目管理机构组织方案。二、评审标准 1.完整性：方案全面，对评审内容中的各项要求有详细描述； 2.针对性：方案紧扣项目实际情况，内容科学合理；3.可实施性：切合本项目实际情况，提出步骤清晰、合理的方案。 三、赋分标准（满分6分） ①施工组织：每完全满足一个评审标准得1分；针对评审标准存在有不合理处的得0.5分；内容与本项目无关或未提供的得0分。 ②项目管理机构：每完全满足一个评审标准得1分；针对评审标准存在有不合理处的得0.5分；内容与本项目无关或未提供的得0分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劳动力计划安排方案</w:t>
            </w:r>
          </w:p>
        </w:tc>
        <w:tc>
          <w:tcPr>
            <w:tcW w:type="dxa" w:w="2492"/>
          </w:tcPr>
          <w:p>
            <w:pPr>
              <w:pStyle w:val="null3"/>
            </w:pPr>
            <w:r>
              <w:rPr>
                <w:rFonts w:ascii="仿宋_GB2312" w:hAnsi="仿宋_GB2312" w:cs="仿宋_GB2312" w:eastAsia="仿宋_GB2312"/>
              </w:rPr>
              <w:t>一、评审内容 针对本项目内容提出适用于本项目的劳动力计划安排方案。 二、评审标准 1.完整性：方案全面，对评审内容中的各项要求有详细描述； 2.针对性：方案紧扣项目实际情况，内容科学合理； 3.可实施性：切合本项目实际情况，提出步骤清晰、合理的方案。三、赋分标准（满分3分）劳动力安排计划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针对本项目内容提出适用于本项目的施工机械配备和材料投入计划，包括：①施工机械配备方案；②材料投入计划。二、评审标准 1.完整性：方案全面，对评审内容中的各项要求有详细描述；2.针对性：方案紧扣项目实际情况，内容科学合理；3.可实施性：切合本项目实际情况，提出步骤清晰、合理的方案。 三、赋分标准（满分6分） ①施工机械配备方案：每完全满足一个评审标准得1分；针对评审标准存在有不合理处的得0.5分；内容与本项目无关或未提供的得0分。 ②材料投入计划：每完全满足一个评审标准得1分；针对评审标准存在有不合理处的得0.5分；内容与本项目无关或未提供的得0分。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确保环境保护的组织措施</w:t>
            </w:r>
          </w:p>
        </w:tc>
        <w:tc>
          <w:tcPr>
            <w:tcW w:type="dxa" w:w="2492"/>
          </w:tcPr>
          <w:p>
            <w:pPr>
              <w:pStyle w:val="null3"/>
            </w:pPr>
            <w:r>
              <w:rPr>
                <w:rFonts w:ascii="仿宋_GB2312" w:hAnsi="仿宋_GB2312" w:cs="仿宋_GB2312" w:eastAsia="仿宋_GB2312"/>
              </w:rPr>
              <w:t>一、评审内容 针对本项目内容提出适用于本项目的确保环境保护的组织措施，包括：①治污减霾措施；②施工周围及施工场地的环境保护措施。二、评审标准 1.完整性：措施全面，对评审内容中的各项要求有详细描述； 2.针对性：措施紧扣项目实际情况，内容科学合理； 3.可实施性：切合本项目实际情况，提出步骤清晰、合理的方案。三、赋分标准（满分6分） ①治污减霾措施：每完全满足一个评审标准得1分；针对评审标准存在有不合理处的得0.5分；内容与本项目无关或未提供的得0分。 ②施工周围及施工场地的环境保护措施：每完全满足一个评审标准得1分；针对评审标准存在有不合理处的得0.5分； 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针对本项目内容提出适用于本项目的新技术、新产品、新工艺、新材料应用方案。 二、评审标准 1.针对性：方案紧扣项目实际情况，内容科学合理； 2.可实施性：切合本项目实际情况，提出步骤清晰、合理的应用方案。三、赋分标准（满分2分） 新技术、新产品、新工艺、新材料的应用方案：完全满足评审标准得2分；针对评审标准存在有不合理处的得1分；内容与本项目无关或未提供的得0分。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针对本项目内容提出适用于本项目的相关承诺，包括： ①对实施过程中与采购人的沟通、协调等内容做出承诺； ②供应商对施工过程产生的垃圾按规定倾倒、不随意抛洒等内容做出承诺； ③供应商对工期时限、工程质量及进度等内容作出承诺。二、评审标准 1.完整性：方案必须全面，对评审内容中的各项要求有详细描述； 2.针对性：方案紧扣项目实际情况，内容科学合理； 3.可实施性：切合本项目实际情况，提出步骤清晰、合理的方案。三、赋分标准（满分9分） ①对实施过程中与采购人的沟通、协调等内容做出承诺：每完全满足一个评审标准得1分；针对评审标准存在有不合理处的得0.5分；内容与本项目无关或未提供的得0分。 ②供应商对施工过程产生的垃圾按规定倾倒、不随意抛洒等内容做出承诺：每完全满足一个评审标准得1分；针对评审标准存在有不合理处的得0.5分；内容与本项目无关或未提供的得0分。 ③供应商对工期时限、工程质量及进度等内容作出承诺：每完全满足一个评审标准得1分；针对评审标准存在有不合理处的得0.5分； 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供应商2022年01月01日以来承担过类似项目业绩（以合同或中标通知书为准)；每提供一项业绩得2.5分，最高得5分。须提供合同或中标通知书复印件或扫描件并加盖公章，不提供不计分。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 格得分统一按照下列公式计算： 磋商报价得分=（磋商基准价/最终磋 商报价） ×价格权值（30%）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