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DC966">
      <w:pPr>
        <w:pStyle w:val="7"/>
        <w:jc w:val="center"/>
        <w:outlineLvl w:val="1"/>
        <w:rPr>
          <w:color w:val="000000" w:themeColor="text1"/>
          <w:highlight w:val="none"/>
          <w14:textFill>
            <w14:solidFill>
              <w14:schemeClr w14:val="tx1"/>
            </w14:solidFill>
          </w14:textFill>
        </w:rPr>
      </w:pPr>
      <w:r>
        <w:rPr>
          <w:b/>
          <w:color w:val="000000" w:themeColor="text1"/>
          <w:sz w:val="36"/>
          <w:highlight w:val="none"/>
          <w14:textFill>
            <w14:solidFill>
              <w14:schemeClr w14:val="tx1"/>
            </w14:solidFill>
          </w14:textFill>
        </w:rPr>
        <w:t>拟签订采购合同文本</w:t>
      </w:r>
    </w:p>
    <w:p w14:paraId="6CC963EA">
      <w:pPr>
        <w:spacing w:line="360" w:lineRule="auto"/>
        <w:rPr>
          <w:rFonts w:ascii="宋体" w:hAnsi="宋体" w:cs="宋体"/>
          <w:b/>
          <w:bCs/>
          <w:color w:val="000000" w:themeColor="text1"/>
          <w:sz w:val="32"/>
          <w:szCs w:val="44"/>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br w:type="textWrapping"/>
      </w:r>
      <w:r>
        <w:rPr>
          <w:rFonts w:hint="eastAsia" w:ascii="宋体" w:hAnsi="宋体" w:cs="宋体"/>
          <w:b/>
          <w:bCs/>
          <w:color w:val="000000" w:themeColor="text1"/>
          <w:sz w:val="32"/>
          <w:szCs w:val="44"/>
          <w:highlight w:val="none"/>
          <w14:textFill>
            <w14:solidFill>
              <w14:schemeClr w14:val="tx1"/>
            </w14:solidFill>
          </w14:textFill>
        </w:rPr>
        <w:t>（GF—2017—0201）</w:t>
      </w:r>
    </w:p>
    <w:p w14:paraId="5F757DA0">
      <w:pPr>
        <w:spacing w:line="360" w:lineRule="auto"/>
        <w:rPr>
          <w:rFonts w:ascii="宋体" w:hAnsi="宋体" w:cs="宋体"/>
          <w:color w:val="000000" w:themeColor="text1"/>
          <w:highlight w:val="none"/>
          <w14:textFill>
            <w14:solidFill>
              <w14:schemeClr w14:val="tx1"/>
            </w14:solidFill>
          </w14:textFill>
        </w:rPr>
      </w:pPr>
    </w:p>
    <w:p w14:paraId="568F9548">
      <w:pPr>
        <w:pStyle w:val="4"/>
        <w:spacing w:line="360" w:lineRule="auto"/>
        <w:rPr>
          <w:color w:val="000000" w:themeColor="text1"/>
          <w:highlight w:val="none"/>
          <w14:textFill>
            <w14:solidFill>
              <w14:schemeClr w14:val="tx1"/>
            </w14:solidFill>
          </w14:textFill>
        </w:rPr>
      </w:pPr>
    </w:p>
    <w:p w14:paraId="4D07CAFD">
      <w:pPr>
        <w:spacing w:line="360" w:lineRule="auto"/>
        <w:rPr>
          <w:rFonts w:ascii="宋体" w:hAnsi="宋体" w:cs="宋体"/>
          <w:color w:val="000000" w:themeColor="text1"/>
          <w:sz w:val="20"/>
          <w:szCs w:val="22"/>
          <w:highlight w:val="none"/>
          <w14:textFill>
            <w14:solidFill>
              <w14:schemeClr w14:val="tx1"/>
            </w14:solidFill>
          </w14:textFill>
        </w:rPr>
      </w:pPr>
    </w:p>
    <w:p w14:paraId="40E91686">
      <w:pPr>
        <w:spacing w:line="360" w:lineRule="auto"/>
        <w:jc w:val="center"/>
        <w:rPr>
          <w:rFonts w:ascii="宋体" w:hAnsi="宋体" w:cs="宋体"/>
          <w:b/>
          <w:color w:val="000000" w:themeColor="text1"/>
          <w:sz w:val="72"/>
          <w:szCs w:val="52"/>
          <w:highlight w:val="none"/>
          <w14:textFill>
            <w14:solidFill>
              <w14:schemeClr w14:val="tx1"/>
            </w14:solidFill>
          </w14:textFill>
        </w:rPr>
      </w:pPr>
      <w:r>
        <w:rPr>
          <w:rFonts w:hint="eastAsia" w:ascii="宋体" w:hAnsi="宋体" w:cs="宋体"/>
          <w:b/>
          <w:color w:val="000000" w:themeColor="text1"/>
          <w:sz w:val="72"/>
          <w:szCs w:val="52"/>
          <w:highlight w:val="none"/>
          <w14:textFill>
            <w14:solidFill>
              <w14:schemeClr w14:val="tx1"/>
            </w14:solidFill>
          </w14:textFill>
        </w:rPr>
        <w:t>建设工程施工合同</w:t>
      </w:r>
    </w:p>
    <w:p w14:paraId="3619A9A0">
      <w:pPr>
        <w:pStyle w:val="4"/>
        <w:spacing w:line="360" w:lineRule="auto"/>
        <w:rPr>
          <w:color w:val="000000" w:themeColor="text1"/>
          <w:highlight w:val="none"/>
          <w14:textFill>
            <w14:solidFill>
              <w14:schemeClr w14:val="tx1"/>
            </w14:solidFill>
          </w14:textFill>
        </w:rPr>
      </w:pPr>
    </w:p>
    <w:p w14:paraId="5AF98BC1">
      <w:pPr>
        <w:spacing w:line="360" w:lineRule="auto"/>
        <w:rPr>
          <w:rFonts w:ascii="宋体" w:hAnsi="宋体" w:cs="宋体"/>
          <w:color w:val="000000" w:themeColor="text1"/>
          <w:sz w:val="24"/>
          <w:highlight w:val="none"/>
          <w14:textFill>
            <w14:solidFill>
              <w14:schemeClr w14:val="tx1"/>
            </w14:solidFill>
          </w14:textFill>
        </w:rPr>
      </w:pPr>
    </w:p>
    <w:p w14:paraId="65CDA280">
      <w:pPr>
        <w:pStyle w:val="3"/>
        <w:spacing w:line="360" w:lineRule="auto"/>
        <w:rPr>
          <w:rFonts w:hAnsi="宋体" w:cs="宋体"/>
          <w:color w:val="000000" w:themeColor="text1"/>
          <w:highlight w:val="none"/>
          <w14:textFill>
            <w14:solidFill>
              <w14:schemeClr w14:val="tx1"/>
            </w14:solidFill>
          </w14:textFill>
        </w:rPr>
      </w:pPr>
    </w:p>
    <w:p w14:paraId="769E26B8">
      <w:pPr>
        <w:spacing w:line="360" w:lineRule="auto"/>
        <w:rPr>
          <w:rFonts w:ascii="宋体" w:hAnsi="宋体" w:cs="宋体"/>
          <w:color w:val="000000" w:themeColor="text1"/>
          <w:sz w:val="24"/>
          <w:highlight w:val="none"/>
          <w14:textFill>
            <w14:solidFill>
              <w14:schemeClr w14:val="tx1"/>
            </w14:solidFill>
          </w14:textFill>
        </w:rPr>
      </w:pPr>
    </w:p>
    <w:p w14:paraId="3A3CF96B">
      <w:pPr>
        <w:pStyle w:val="4"/>
        <w:spacing w:line="360" w:lineRule="auto"/>
        <w:rPr>
          <w:color w:val="000000" w:themeColor="text1"/>
          <w:highlight w:val="none"/>
          <w14:textFill>
            <w14:solidFill>
              <w14:schemeClr w14:val="tx1"/>
            </w14:solidFill>
          </w14:textFill>
        </w:rPr>
      </w:pPr>
    </w:p>
    <w:p w14:paraId="33EFEBCA">
      <w:pPr>
        <w:spacing w:line="360" w:lineRule="auto"/>
        <w:rPr>
          <w:rFonts w:ascii="宋体" w:hAnsi="宋体" w:cs="宋体"/>
          <w:color w:val="000000" w:themeColor="text1"/>
          <w:sz w:val="24"/>
          <w:highlight w:val="none"/>
          <w14:textFill>
            <w14:solidFill>
              <w14:schemeClr w14:val="tx1"/>
            </w14:solidFill>
          </w14:textFill>
        </w:rPr>
      </w:pPr>
    </w:p>
    <w:p w14:paraId="54ABC4E9">
      <w:pPr>
        <w:pStyle w:val="4"/>
        <w:spacing w:line="360" w:lineRule="auto"/>
        <w:rPr>
          <w:color w:val="000000" w:themeColor="text1"/>
          <w:highlight w:val="none"/>
          <w14:textFill>
            <w14:solidFill>
              <w14:schemeClr w14:val="tx1"/>
            </w14:solidFill>
          </w14:textFill>
        </w:rPr>
      </w:pPr>
    </w:p>
    <w:p w14:paraId="33329F1B">
      <w:pPr>
        <w:pStyle w:val="4"/>
        <w:spacing w:line="360" w:lineRule="auto"/>
        <w:rPr>
          <w:color w:val="000000" w:themeColor="text1"/>
          <w:highlight w:val="none"/>
          <w14:textFill>
            <w14:solidFill>
              <w14:schemeClr w14:val="tx1"/>
            </w14:solidFill>
          </w14:textFill>
        </w:rPr>
      </w:pPr>
    </w:p>
    <w:p w14:paraId="53B77956">
      <w:pPr>
        <w:pStyle w:val="4"/>
        <w:spacing w:line="360" w:lineRule="auto"/>
        <w:rPr>
          <w:color w:val="000000" w:themeColor="text1"/>
          <w:highlight w:val="none"/>
          <w14:textFill>
            <w14:solidFill>
              <w14:schemeClr w14:val="tx1"/>
            </w14:solidFill>
          </w14:textFill>
        </w:rPr>
      </w:pPr>
    </w:p>
    <w:p w14:paraId="7C484526">
      <w:pPr>
        <w:pStyle w:val="4"/>
        <w:spacing w:line="360" w:lineRule="auto"/>
        <w:rPr>
          <w:color w:val="000000" w:themeColor="text1"/>
          <w:highlight w:val="none"/>
          <w14:textFill>
            <w14:solidFill>
              <w14:schemeClr w14:val="tx1"/>
            </w14:solidFill>
          </w14:textFill>
        </w:rPr>
      </w:pPr>
    </w:p>
    <w:p w14:paraId="42FC7235">
      <w:pPr>
        <w:spacing w:line="360" w:lineRule="auto"/>
        <w:rPr>
          <w:rFonts w:ascii="宋体" w:hAnsi="宋体" w:cs="宋体"/>
          <w:b/>
          <w:color w:val="000000" w:themeColor="text1"/>
          <w:sz w:val="32"/>
          <w:szCs w:val="32"/>
          <w:highlight w:val="none"/>
          <w14:textFill>
            <w14:solidFill>
              <w14:schemeClr w14:val="tx1"/>
            </w14:solidFill>
          </w14:textFill>
        </w:rPr>
      </w:pPr>
    </w:p>
    <w:p w14:paraId="04EA449E">
      <w:pPr>
        <w:spacing w:line="360" w:lineRule="auto"/>
        <w:ind w:right="197" w:rightChars="94"/>
        <w:rPr>
          <w:rFonts w:ascii="宋体" w:hAnsi="宋体" w:cs="宋体"/>
          <w:b/>
          <w:color w:val="000000" w:themeColor="text1"/>
          <w:sz w:val="30"/>
          <w:szCs w:val="30"/>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3482340</wp:posOffset>
                </wp:positionH>
                <wp:positionV relativeFrom="paragraph">
                  <wp:posOffset>67310</wp:posOffset>
                </wp:positionV>
                <wp:extent cx="741045" cy="476250"/>
                <wp:effectExtent l="4445" t="4445" r="16510" b="14605"/>
                <wp:wrapNone/>
                <wp:docPr id="24" name="文本框 24"/>
                <wp:cNvGraphicFramePr/>
                <a:graphic xmlns:a="http://schemas.openxmlformats.org/drawingml/2006/main">
                  <a:graphicData uri="http://schemas.microsoft.com/office/word/2010/wordprocessingShape">
                    <wps:wsp>
                      <wps:cNvSpPr txBox="1"/>
                      <wps:spPr>
                        <a:xfrm>
                          <a:off x="0" y="0"/>
                          <a:ext cx="741045" cy="476250"/>
                        </a:xfrm>
                        <a:prstGeom prst="rect">
                          <a:avLst/>
                        </a:prstGeom>
                        <a:noFill/>
                        <a:ln w="9525" cap="flat" cmpd="sng">
                          <a:solidFill>
                            <a:srgbClr val="FFFFFF"/>
                          </a:solidFill>
                          <a:prstDash val="solid"/>
                          <a:miter/>
                          <a:headEnd type="none" w="med" len="med"/>
                          <a:tailEnd type="none" w="med" len="med"/>
                        </a:ln>
                        <a:effectLst/>
                      </wps:spPr>
                      <wps:txbx>
                        <w:txbxContent>
                          <w:p w14:paraId="0197CF18">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74.2pt;margin-top:5.3pt;height:37.5pt;width:58.35pt;z-index:251659264;mso-width-relative:page;mso-height-relative:page;" filled="f" stroked="t" coordsize="21600,21600" o:gfxdata="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FX7UG1wAAAAkBAAAPAAAAAAAAAAEAIAAA&#10;ACIAAABkcnMvZG93bnJldi54bWxQSwECFAAUAAAACACHTuJAjF16Mg0CAAAcBAAADgAAAAAAAAAB&#10;ACAAAAAmAQAAZHJzL2Uyb0RvYy54bWxQSwUGAAAAAAYABgBZAQAApQUAAAAA&#10;">
                <v:fill on="f" focussize="0,0"/>
                <v:stroke color="#FFFFFF" joinstyle="miter"/>
                <v:imagedata o:title=""/>
                <o:lock v:ext="edit" aspectratio="f"/>
                <v:textbox>
                  <w:txbxContent>
                    <w:p w14:paraId="0197CF18">
                      <w:pPr>
                        <w:rPr>
                          <w:b/>
                          <w:bCs/>
                          <w:sz w:val="32"/>
                        </w:rPr>
                      </w:pPr>
                      <w:r>
                        <w:rPr>
                          <w:rFonts w:hint="eastAsia"/>
                          <w:b/>
                          <w:bCs/>
                          <w:sz w:val="32"/>
                        </w:rPr>
                        <w:t>制定</w:t>
                      </w:r>
                    </w:p>
                  </w:txbxContent>
                </v:textbox>
              </v:shape>
            </w:pict>
          </mc:Fallback>
        </mc:AlternateContent>
      </w:r>
      <w:r>
        <w:rPr>
          <w:rFonts w:hint="eastAsia" w:ascii="宋体" w:hAnsi="宋体" w:cs="宋体"/>
          <w:b/>
          <w:color w:val="000000" w:themeColor="text1"/>
          <w:sz w:val="32"/>
          <w:szCs w:val="32"/>
          <w:highlight w:val="none"/>
          <w14:textFill>
            <w14:solidFill>
              <w14:schemeClr w14:val="tx1"/>
            </w14:solidFill>
          </w14:textFill>
        </w:rPr>
        <w:t xml:space="preserve">             </w:t>
      </w:r>
      <w:r>
        <w:rPr>
          <w:rFonts w:hint="eastAsia" w:ascii="宋体" w:hAnsi="宋体" w:cs="宋体"/>
          <w:b/>
          <w:color w:val="000000" w:themeColor="text1"/>
          <w:sz w:val="30"/>
          <w:szCs w:val="30"/>
          <w:highlight w:val="none"/>
          <w14:textFill>
            <w14:solidFill>
              <w14:schemeClr w14:val="tx1"/>
            </w14:solidFill>
          </w14:textFill>
        </w:rPr>
        <w:t xml:space="preserve">住 房 城 乡 建 设 部 </w:t>
      </w:r>
    </w:p>
    <w:p w14:paraId="0A3B6CB2">
      <w:pPr>
        <w:spacing w:line="360" w:lineRule="auto"/>
        <w:ind w:right="197" w:rightChars="94" w:firstLine="2108" w:firstLineChars="700"/>
        <w:rPr>
          <w:rFonts w:ascii="宋体" w:hAnsi="宋体" w:cs="宋体"/>
          <w:b/>
          <w:color w:val="000000" w:themeColor="text1"/>
          <w:sz w:val="30"/>
          <w:szCs w:val="30"/>
          <w:highlight w:val="none"/>
          <w14:textFill>
            <w14:solidFill>
              <w14:schemeClr w14:val="tx1"/>
            </w14:solidFill>
          </w14:textFill>
        </w:rPr>
      </w:pPr>
      <w:r>
        <w:rPr>
          <w:rFonts w:hint="eastAsia" w:ascii="宋体" w:hAnsi="宋体" w:cs="宋体"/>
          <w:b/>
          <w:color w:val="000000" w:themeColor="text1"/>
          <w:sz w:val="30"/>
          <w:szCs w:val="30"/>
          <w:highlight w:val="none"/>
          <w14:textFill>
            <w14:solidFill>
              <w14:schemeClr w14:val="tx1"/>
            </w14:solidFill>
          </w14:textFill>
        </w:rPr>
        <w:t>国家工商行政管理总局</w:t>
      </w:r>
    </w:p>
    <w:p w14:paraId="79D4EEBA">
      <w:pPr>
        <w:widowControl/>
        <w:spacing w:line="360" w:lineRule="auto"/>
        <w:jc w:val="left"/>
        <w:rPr>
          <w:rStyle w:val="8"/>
          <w:rFonts w:ascii="宋体" w:hAnsi="宋体" w:cs="宋体"/>
          <w:color w:val="000000" w:themeColor="text1"/>
          <w:sz w:val="28"/>
          <w:szCs w:val="28"/>
          <w:highlight w:val="none"/>
          <w14:textFill>
            <w14:solidFill>
              <w14:schemeClr w14:val="tx1"/>
            </w14:solidFill>
          </w14:textFill>
        </w:rPr>
      </w:pPr>
      <w:bookmarkStart w:id="0" w:name="_Toc446841669"/>
      <w:bookmarkStart w:id="1" w:name="_Toc440118263"/>
      <w:bookmarkStart w:id="2" w:name="_Toc451935983"/>
    </w:p>
    <w:bookmarkEnd w:id="0"/>
    <w:bookmarkEnd w:id="1"/>
    <w:bookmarkEnd w:id="2"/>
    <w:p w14:paraId="4F9EDB88">
      <w:pPr>
        <w:rPr>
          <w:rFonts w:hint="eastAsia" w:ascii="宋体" w:hAnsi="宋体" w:cs="宋体"/>
          <w:color w:val="000000" w:themeColor="text1"/>
          <w:highlight w:val="none"/>
          <w14:textFill>
            <w14:solidFill>
              <w14:schemeClr w14:val="tx1"/>
            </w14:solidFill>
          </w14:textFill>
        </w:rPr>
      </w:pPr>
      <w:bookmarkStart w:id="3" w:name="_Toc126315556"/>
      <w:bookmarkStart w:id="4" w:name="_Toc87519052"/>
      <w:bookmarkStart w:id="5" w:name="_Toc56007603"/>
      <w:r>
        <w:rPr>
          <w:rFonts w:hint="eastAsia" w:ascii="宋体" w:hAnsi="宋体" w:cs="宋体"/>
          <w:color w:val="000000" w:themeColor="text1"/>
          <w:highlight w:val="none"/>
          <w14:textFill>
            <w14:solidFill>
              <w14:schemeClr w14:val="tx1"/>
            </w14:solidFill>
          </w14:textFill>
        </w:rPr>
        <w:br w:type="page"/>
      </w:r>
    </w:p>
    <w:p w14:paraId="4AFF0144">
      <w:pPr>
        <w:pStyle w:val="2"/>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第一部分、合同协议书</w:t>
      </w:r>
      <w:bookmarkEnd w:id="3"/>
      <w:bookmarkEnd w:id="4"/>
      <w:bookmarkEnd w:id="5"/>
    </w:p>
    <w:p w14:paraId="736C7758">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发包人（全称）：</w:t>
      </w:r>
      <w:r>
        <w:rPr>
          <w:rFonts w:hint="eastAsia" w:ascii="宋体" w:hAnsi="宋体" w:cs="宋体"/>
          <w:color w:val="000000" w:themeColor="text1"/>
          <w:kern w:val="0"/>
          <w:sz w:val="24"/>
          <w:highlight w:val="none"/>
          <w:u w:val="single"/>
          <w:lang w:val="en-US" w:eastAsia="zh-CN"/>
          <w14:textFill>
            <w14:solidFill>
              <w14:schemeClr w14:val="tx1"/>
            </w14:solidFill>
          </w14:textFill>
        </w:rPr>
        <w:t>西安市灞桥区农业农村局</w:t>
      </w:r>
    </w:p>
    <w:p w14:paraId="38383897">
      <w:pPr>
        <w:widowControl/>
        <w:spacing w:line="360" w:lineRule="auto"/>
        <w:ind w:firstLine="480" w:firstLineChars="200"/>
        <w:jc w:val="left"/>
        <w:rPr>
          <w:rFonts w:ascii="宋体" w:hAnsi="宋体" w:cs="宋体"/>
          <w:color w:val="000000" w:themeColor="text1"/>
          <w:kern w:val="0"/>
          <w:sz w:val="24"/>
          <w:highlight w:val="none"/>
          <w:u w:val="singl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承包人（全称）：</w:t>
      </w:r>
      <w:r>
        <w:rPr>
          <w:rFonts w:hint="eastAsia" w:ascii="宋体" w:hAnsi="宋体" w:cs="宋体"/>
          <w:color w:val="000000" w:themeColor="text1"/>
          <w:kern w:val="0"/>
          <w:sz w:val="24"/>
          <w:highlight w:val="none"/>
          <w:u w:val="single"/>
          <w14:textFill>
            <w14:solidFill>
              <w14:schemeClr w14:val="tx1"/>
            </w14:solidFill>
          </w14:textFill>
        </w:rPr>
        <w:t xml:space="preserve">                            </w:t>
      </w:r>
    </w:p>
    <w:p w14:paraId="5B207605">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根据《中华人民共和国民法典》、《中华人民共和国建筑法》及有关法律规定，遵循平等、自愿、公平和诚实信用的原则，双方就</w:t>
      </w:r>
      <w:r>
        <w:rPr>
          <w:rFonts w:hint="eastAsia" w:ascii="宋体" w:hAnsi="宋体" w:cs="宋体"/>
          <w:color w:val="000000" w:themeColor="text1"/>
          <w:kern w:val="0"/>
          <w:sz w:val="24"/>
          <w:highlight w:val="none"/>
          <w:u w:val="single"/>
          <w:lang w:val="en-US" w:eastAsia="zh-CN"/>
          <w14:textFill>
            <w14:solidFill>
              <w14:schemeClr w14:val="tx1"/>
            </w14:solidFill>
          </w14:textFill>
        </w:rPr>
        <w:t>塘村发展壮大村集体经济项目（灞桥樱桃试验示范站项目）二期</w:t>
      </w:r>
      <w:r>
        <w:rPr>
          <w:rFonts w:hint="eastAsia" w:ascii="宋体" w:hAnsi="宋体" w:cs="宋体"/>
          <w:color w:val="000000" w:themeColor="text1"/>
          <w:kern w:val="0"/>
          <w:sz w:val="24"/>
          <w:highlight w:val="none"/>
          <w:u w:val="none"/>
          <w14:textFill>
            <w14:solidFill>
              <w14:schemeClr w14:val="tx1"/>
            </w14:solidFill>
          </w14:textFill>
        </w:rPr>
        <w:t>工程</w:t>
      </w:r>
      <w:r>
        <w:rPr>
          <w:rFonts w:hint="eastAsia" w:ascii="宋体" w:hAnsi="宋体" w:cs="宋体"/>
          <w:color w:val="000000" w:themeColor="text1"/>
          <w:kern w:val="0"/>
          <w:sz w:val="24"/>
          <w:highlight w:val="none"/>
          <w14:textFill>
            <w14:solidFill>
              <w14:schemeClr w14:val="tx1"/>
            </w14:solidFill>
          </w14:textFill>
        </w:rPr>
        <w:t>施工及有关事项协商一致，共同达成如下协议：</w:t>
      </w:r>
    </w:p>
    <w:p w14:paraId="27FAE98D">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一、工程概况</w:t>
      </w:r>
    </w:p>
    <w:p w14:paraId="466B9D58">
      <w:pPr>
        <w:widowControl/>
        <w:spacing w:line="360" w:lineRule="auto"/>
        <w:ind w:firstLine="480" w:firstLineChars="200"/>
        <w:jc w:val="left"/>
        <w:rPr>
          <w:rFonts w:hint="default" w:ascii="宋体" w:hAnsi="宋体" w:cs="宋体"/>
          <w:color w:val="000000" w:themeColor="text1"/>
          <w:kern w:val="0"/>
          <w:sz w:val="24"/>
          <w:highlight w:val="none"/>
          <w:lang w:val="en-US"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工程名称：</w:t>
      </w:r>
      <w:r>
        <w:rPr>
          <w:rFonts w:hint="eastAsia" w:ascii="宋体" w:hAnsi="宋体" w:cs="宋体"/>
          <w:color w:val="000000" w:themeColor="text1"/>
          <w:kern w:val="0"/>
          <w:sz w:val="24"/>
          <w:highlight w:val="none"/>
          <w:u w:val="single"/>
          <w:lang w:val="en-US" w:eastAsia="zh-CN"/>
          <w14:textFill>
            <w14:solidFill>
              <w14:schemeClr w14:val="tx1"/>
            </w14:solidFill>
          </w14:textFill>
        </w:rPr>
        <w:t>塘村发展壮大村集体经济项目（灞桥樱桃试验示范站项目）二期</w:t>
      </w:r>
      <w:r>
        <w:rPr>
          <w:rFonts w:hint="eastAsia" w:ascii="宋体" w:hAnsi="宋体" w:cs="宋体"/>
          <w:color w:val="000000" w:themeColor="text1"/>
          <w:kern w:val="0"/>
          <w:sz w:val="24"/>
          <w:highlight w:val="none"/>
          <w14:textFill>
            <w14:solidFill>
              <w14:schemeClr w14:val="tx1"/>
            </w14:solidFill>
          </w14:textFill>
        </w:rPr>
        <w:t>2</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工程地点：</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w:t>
      </w:r>
    </w:p>
    <w:p w14:paraId="4E2D29A2">
      <w:pPr>
        <w:widowControl/>
        <w:spacing w:line="360" w:lineRule="auto"/>
        <w:ind w:firstLine="480" w:firstLineChars="200"/>
        <w:jc w:val="left"/>
        <w:rPr>
          <w:rFonts w:ascii="宋体" w:hAnsi="宋体" w:cs="宋体"/>
          <w:color w:val="000000" w:themeColor="text1"/>
          <w:kern w:val="0"/>
          <w:sz w:val="24"/>
          <w:highlight w:val="none"/>
          <w:u w:val="singl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工程内容：</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塘村发展壮大村集体经济项目（灞桥樱桃试验示范站项目）二期主要工程内容详见工程量清单及图纸所含全部内容。</w:t>
      </w:r>
    </w:p>
    <w:p w14:paraId="3E9606F0">
      <w:pPr>
        <w:widowControl/>
        <w:spacing w:line="360" w:lineRule="auto"/>
        <w:ind w:firstLine="480" w:firstLineChars="200"/>
        <w:jc w:val="left"/>
        <w:rPr>
          <w:rFonts w:ascii="宋体" w:hAnsi="宋体" w:cs="宋体"/>
          <w:color w:val="000000" w:themeColor="text1"/>
          <w:kern w:val="0"/>
          <w:sz w:val="24"/>
          <w:highlight w:val="none"/>
          <w:u w:val="singl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承包范围：</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 xml:space="preserve">塘村发展壮大村集体经济项目（灞桥樱桃试验示范站项目）二期 </w:t>
      </w:r>
      <w:r>
        <w:rPr>
          <w:rFonts w:hint="eastAsia" w:ascii="宋体" w:hAnsi="宋体" w:cs="宋体"/>
          <w:color w:val="000000" w:themeColor="text1"/>
          <w:kern w:val="0"/>
          <w:sz w:val="24"/>
          <w:highlight w:val="none"/>
          <w:u w:val="single"/>
          <w:lang w:eastAsia="zh-CN"/>
          <w14:textFill>
            <w14:solidFill>
              <w14:schemeClr w14:val="tx1"/>
            </w14:solidFill>
          </w14:textFill>
        </w:rPr>
        <w:t>施工图纸、工程量清单及</w:t>
      </w:r>
      <w:r>
        <w:rPr>
          <w:rFonts w:hint="eastAsia" w:ascii="宋体" w:hAnsi="宋体" w:cs="宋体"/>
          <w:color w:val="000000" w:themeColor="text1"/>
          <w:kern w:val="0"/>
          <w:sz w:val="24"/>
          <w:highlight w:val="none"/>
          <w:u w:val="single"/>
          <w:lang w:val="en-US" w:eastAsia="zh-CN"/>
          <w14:textFill>
            <w14:solidFill>
              <w14:schemeClr w14:val="tx1"/>
            </w14:solidFill>
          </w14:textFill>
        </w:rPr>
        <w:t>磋商</w:t>
      </w:r>
      <w:r>
        <w:rPr>
          <w:rFonts w:hint="eastAsia" w:ascii="宋体" w:hAnsi="宋体" w:cs="宋体"/>
          <w:color w:val="000000" w:themeColor="text1"/>
          <w:kern w:val="0"/>
          <w:sz w:val="24"/>
          <w:highlight w:val="none"/>
          <w:u w:val="single"/>
          <w:lang w:eastAsia="zh-CN"/>
          <w14:textFill>
            <w14:solidFill>
              <w14:schemeClr w14:val="tx1"/>
            </w14:solidFill>
          </w14:textFill>
        </w:rPr>
        <w:t>文件包含的全部工程内容</w:t>
      </w:r>
      <w:r>
        <w:rPr>
          <w:rFonts w:hint="eastAsia" w:ascii="宋体" w:hAnsi="宋体" w:cs="宋体"/>
          <w:color w:val="000000" w:themeColor="text1"/>
          <w:kern w:val="0"/>
          <w:sz w:val="24"/>
          <w:highlight w:val="none"/>
          <w:u w:val="single"/>
          <w14:textFill>
            <w14:solidFill>
              <w14:schemeClr w14:val="tx1"/>
            </w14:solidFill>
          </w14:textFill>
        </w:rPr>
        <w:t>。</w:t>
      </w:r>
    </w:p>
    <w:p w14:paraId="761D86D5">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二、合同工期：</w:t>
      </w:r>
    </w:p>
    <w:p w14:paraId="786EE736">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计划开工日期：</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年</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月</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日。</w:t>
      </w:r>
    </w:p>
    <w:p w14:paraId="10366708">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计划竣工日期：</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年</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月</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日。</w:t>
      </w:r>
    </w:p>
    <w:p w14:paraId="0CFA2D74">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工期总日历天数：</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60 </w:t>
      </w:r>
      <w:r>
        <w:rPr>
          <w:rFonts w:hint="eastAsia" w:ascii="宋体" w:hAnsi="宋体" w:cs="宋体"/>
          <w:color w:val="000000" w:themeColor="text1"/>
          <w:kern w:val="0"/>
          <w:sz w:val="24"/>
          <w:highlight w:val="none"/>
          <w14:textFill>
            <w14:solidFill>
              <w14:schemeClr w14:val="tx1"/>
            </w14:solidFill>
          </w14:textFill>
        </w:rPr>
        <w:t>天。</w:t>
      </w:r>
      <w:r>
        <w:rPr>
          <w:rFonts w:hint="eastAsia" w:ascii="宋体" w:hAnsi="宋体" w:cs="宋体"/>
          <w:color w:val="000000" w:themeColor="text1"/>
          <w:kern w:val="0"/>
          <w:sz w:val="24"/>
          <w:highlight w:val="none"/>
          <w14:textFill>
            <w14:solidFill>
              <w14:schemeClr w14:val="tx1"/>
            </w14:solidFill>
          </w14:textFill>
        </w:rPr>
        <w:t xml:space="preserve">工期总日历天数与根据前述计划开竣工日期计算的工期天数不一致的，以工期总日历天数为准。  </w:t>
      </w:r>
    </w:p>
    <w:p w14:paraId="44F4CE7E">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实际开工时间以发包人要求为准，施工单位应无条件配合，根据总包单位实际进度，及时进场</w:t>
      </w:r>
      <w:bookmarkStart w:id="468" w:name="_GoBack"/>
      <w:bookmarkEnd w:id="468"/>
      <w:r>
        <w:rPr>
          <w:rFonts w:hint="eastAsia" w:ascii="宋体" w:hAnsi="宋体" w:cs="宋体"/>
          <w:color w:val="000000" w:themeColor="text1"/>
          <w:kern w:val="0"/>
          <w:sz w:val="24"/>
          <w:highlight w:val="none"/>
          <w14:textFill>
            <w14:solidFill>
              <w14:schemeClr w14:val="tx1"/>
            </w14:solidFill>
          </w14:textFill>
        </w:rPr>
        <w:t>施工。</w:t>
      </w:r>
    </w:p>
    <w:p w14:paraId="7AC02613">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三、质量标准</w:t>
      </w:r>
    </w:p>
    <w:p w14:paraId="15A25E52">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达到国家质量验收规范合格标准。</w:t>
      </w:r>
    </w:p>
    <w:p w14:paraId="2314D1D9">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四、签约合同价与合同价格形式</w:t>
      </w:r>
    </w:p>
    <w:p w14:paraId="0794E415">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1、合同含税总价（小写）￥：</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元（大写）：</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（人民币）（其中：安全防护、文明施工措施费</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 xml:space="preserve">元。) </w:t>
      </w:r>
    </w:p>
    <w:p w14:paraId="453EC211">
      <w:pPr>
        <w:widowControl/>
        <w:spacing w:line="360" w:lineRule="auto"/>
        <w:ind w:firstLine="480"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合同价格形式：</w:t>
      </w:r>
      <w:r>
        <w:rPr>
          <w:rFonts w:hint="eastAsia" w:ascii="宋体" w:hAnsi="宋体" w:cs="宋体"/>
          <w:color w:val="000000" w:themeColor="text1"/>
          <w:kern w:val="0"/>
          <w:sz w:val="24"/>
          <w:highlight w:val="none"/>
          <w:u w:val="single"/>
          <w14:textFill>
            <w14:solidFill>
              <w14:schemeClr w14:val="tx1"/>
            </w14:solidFill>
          </w14:textFill>
        </w:rPr>
        <w:t>固定综合单价。</w:t>
      </w:r>
    </w:p>
    <w:p w14:paraId="772E83F9">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承包人项目经理：</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w:t>
      </w:r>
    </w:p>
    <w:p w14:paraId="789F7C29">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lang w:val="en-US" w:eastAsia="zh-CN"/>
          <w14:textFill>
            <w14:solidFill>
              <w14:schemeClr w14:val="tx1"/>
            </w14:solidFill>
          </w14:textFill>
        </w:rPr>
        <w:t>五</w:t>
      </w:r>
      <w:r>
        <w:rPr>
          <w:rFonts w:hint="eastAsia" w:ascii="宋体" w:hAnsi="宋体" w:cs="宋体"/>
          <w:b/>
          <w:color w:val="000000" w:themeColor="text1"/>
          <w:kern w:val="0"/>
          <w:sz w:val="24"/>
          <w:highlight w:val="none"/>
          <w14:textFill>
            <w14:solidFill>
              <w14:schemeClr w14:val="tx1"/>
            </w14:solidFill>
          </w14:textFill>
        </w:rPr>
        <w:t>、合同文件构成</w:t>
      </w:r>
    </w:p>
    <w:p w14:paraId="791E586C">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组成本合同的文件包括：</w:t>
      </w:r>
    </w:p>
    <w:p w14:paraId="0C46F1E4">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1、本合同协议书</w:t>
      </w:r>
    </w:p>
    <w:p w14:paraId="063A342D">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2、本合同专用条款</w:t>
      </w:r>
    </w:p>
    <w:p w14:paraId="17FACE77">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3、本合同通用条款</w:t>
      </w:r>
    </w:p>
    <w:p w14:paraId="27BAFA7A">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4、中标通知书</w:t>
      </w:r>
    </w:p>
    <w:p w14:paraId="1740AFA7">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5、投标书、工程报价单或预算书及其附件</w:t>
      </w:r>
    </w:p>
    <w:p w14:paraId="5ACBACD3">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w:t>
      </w:r>
      <w:r>
        <w:rPr>
          <w:rFonts w:hint="eastAsia" w:ascii="宋体" w:hAnsi="宋体" w:cs="宋体"/>
          <w:color w:val="000000" w:themeColor="text1"/>
          <w:kern w:val="0"/>
          <w:sz w:val="24"/>
          <w:highlight w:val="none"/>
          <w:lang w:val="en-US" w:eastAsia="zh-CN"/>
          <w14:textFill>
            <w14:solidFill>
              <w14:schemeClr w14:val="tx1"/>
            </w14:solidFill>
          </w14:textFill>
        </w:rPr>
        <w:t>磋商</w:t>
      </w:r>
      <w:r>
        <w:rPr>
          <w:rFonts w:hint="eastAsia" w:ascii="宋体" w:hAnsi="宋体" w:cs="宋体"/>
          <w:color w:val="000000" w:themeColor="text1"/>
          <w:kern w:val="0"/>
          <w:sz w:val="24"/>
          <w:highlight w:val="none"/>
          <w14:textFill>
            <w14:solidFill>
              <w14:schemeClr w14:val="tx1"/>
            </w14:solidFill>
          </w14:textFill>
        </w:rPr>
        <w:t>文件、答疑纪要及工程量清单</w:t>
      </w:r>
    </w:p>
    <w:p w14:paraId="20F2FE45">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7、图纸</w:t>
      </w:r>
    </w:p>
    <w:p w14:paraId="1E060F79">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8、标准、规范及有关技术文件</w:t>
      </w:r>
    </w:p>
    <w:p w14:paraId="119A6953">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在合同订立及履行过程中形成的与合同有关的文件均构成合同文件组成部分。</w:t>
      </w:r>
    </w:p>
    <w:p w14:paraId="23CAA824">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1CEC5CB8">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lang w:val="en-US" w:eastAsia="zh-CN"/>
          <w14:textFill>
            <w14:solidFill>
              <w14:schemeClr w14:val="tx1"/>
            </w14:solidFill>
          </w14:textFill>
        </w:rPr>
        <w:t>六</w:t>
      </w:r>
      <w:r>
        <w:rPr>
          <w:rFonts w:hint="eastAsia" w:ascii="宋体" w:hAnsi="宋体" w:cs="宋体"/>
          <w:b/>
          <w:color w:val="000000" w:themeColor="text1"/>
          <w:kern w:val="0"/>
          <w:sz w:val="24"/>
          <w:highlight w:val="none"/>
          <w14:textFill>
            <w14:solidFill>
              <w14:schemeClr w14:val="tx1"/>
            </w14:solidFill>
          </w14:textFill>
        </w:rPr>
        <w:t>、承诺</w:t>
      </w:r>
    </w:p>
    <w:p w14:paraId="22BBED4B">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发包人承诺按照法律规定履行项目审批手续、筹集工程建设资金并按照合同约定的期限和方式支付合同价款。</w:t>
      </w:r>
    </w:p>
    <w:p w14:paraId="33B2F043">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承包人承诺按照法律规定及合同约定组织完成工程施工，确保工程质量和安全，不进行转包及违法分包，并在缺陷责任期及保修期内承担相应的工程维修责任。</w:t>
      </w:r>
    </w:p>
    <w:p w14:paraId="226219CF">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发包人和承包人通过招投标形式签订合同的，双方理解并承诺不再就同一工程另行签订与合同实质性内容相背离的协议。</w:t>
      </w:r>
    </w:p>
    <w:p w14:paraId="17E7E61C">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lang w:val="en-US" w:eastAsia="zh-CN"/>
          <w14:textFill>
            <w14:solidFill>
              <w14:schemeClr w14:val="tx1"/>
            </w14:solidFill>
          </w14:textFill>
        </w:rPr>
        <w:t>七</w:t>
      </w:r>
      <w:r>
        <w:rPr>
          <w:rFonts w:hint="eastAsia" w:ascii="宋体" w:hAnsi="宋体" w:cs="宋体"/>
          <w:b/>
          <w:color w:val="000000" w:themeColor="text1"/>
          <w:kern w:val="0"/>
          <w:sz w:val="24"/>
          <w:highlight w:val="none"/>
          <w14:textFill>
            <w14:solidFill>
              <w14:schemeClr w14:val="tx1"/>
            </w14:solidFill>
          </w14:textFill>
        </w:rPr>
        <w:t>、词语含义</w:t>
      </w:r>
    </w:p>
    <w:p w14:paraId="0E8491EA">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本协议书中词语含义与第二部分通用合同条款中赋予的含义相同。</w:t>
      </w:r>
    </w:p>
    <w:p w14:paraId="790163DE">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lang w:val="en-US" w:eastAsia="zh-CN"/>
          <w14:textFill>
            <w14:solidFill>
              <w14:schemeClr w14:val="tx1"/>
            </w14:solidFill>
          </w14:textFill>
        </w:rPr>
        <w:t>八</w:t>
      </w:r>
      <w:r>
        <w:rPr>
          <w:rFonts w:hint="eastAsia" w:ascii="宋体" w:hAnsi="宋体" w:cs="宋体"/>
          <w:b/>
          <w:color w:val="000000" w:themeColor="text1"/>
          <w:kern w:val="0"/>
          <w:sz w:val="24"/>
          <w:highlight w:val="none"/>
          <w14:textFill>
            <w14:solidFill>
              <w14:schemeClr w14:val="tx1"/>
            </w14:solidFill>
          </w14:textFill>
        </w:rPr>
        <w:t>、签订时间</w:t>
      </w:r>
    </w:p>
    <w:p w14:paraId="4E5C6928">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本合同于</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年</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月</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日签订。</w:t>
      </w:r>
    </w:p>
    <w:p w14:paraId="69125F73">
      <w:pPr>
        <w:widowControl/>
        <w:spacing w:line="360" w:lineRule="auto"/>
        <w:ind w:firstLine="48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lang w:val="en-US" w:eastAsia="zh-CN"/>
          <w14:textFill>
            <w14:solidFill>
              <w14:schemeClr w14:val="tx1"/>
            </w14:solidFill>
          </w14:textFill>
        </w:rPr>
        <w:t>九</w:t>
      </w:r>
      <w:r>
        <w:rPr>
          <w:rFonts w:hint="eastAsia" w:ascii="宋体" w:hAnsi="宋体" w:cs="宋体"/>
          <w:b/>
          <w:color w:val="000000" w:themeColor="text1"/>
          <w:kern w:val="0"/>
          <w:sz w:val="24"/>
          <w:highlight w:val="none"/>
          <w14:textFill>
            <w14:solidFill>
              <w14:schemeClr w14:val="tx1"/>
            </w14:solidFill>
          </w14:textFill>
        </w:rPr>
        <w:t>、签订地点</w:t>
      </w:r>
    </w:p>
    <w:p w14:paraId="27E076A5">
      <w:pPr>
        <w:widowControl/>
        <w:spacing w:line="360" w:lineRule="auto"/>
        <w:ind w:firstLine="48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本合同在</w:t>
      </w:r>
      <w:r>
        <w:rPr>
          <w:rFonts w:hint="eastAsia" w:ascii="宋体" w:hAnsi="宋体" w:cs="宋体"/>
          <w:color w:val="000000" w:themeColor="text1"/>
          <w:kern w:val="0"/>
          <w:sz w:val="24"/>
          <w:highlight w:val="none"/>
          <w:u w:val="single"/>
          <w14:textFill>
            <w14:solidFill>
              <w14:schemeClr w14:val="tx1"/>
            </w14:solidFill>
          </w14:textFill>
        </w:rPr>
        <w:t xml:space="preserve">  陕西省西安市  </w:t>
      </w:r>
      <w:r>
        <w:rPr>
          <w:rFonts w:hint="eastAsia" w:ascii="宋体" w:hAnsi="宋体" w:cs="宋体"/>
          <w:color w:val="000000" w:themeColor="text1"/>
          <w:kern w:val="0"/>
          <w:sz w:val="24"/>
          <w:highlight w:val="none"/>
          <w14:textFill>
            <w14:solidFill>
              <w14:schemeClr w14:val="tx1"/>
            </w14:solidFill>
          </w14:textFill>
        </w:rPr>
        <w:t>签订。</w:t>
      </w:r>
    </w:p>
    <w:p w14:paraId="0C71E07A">
      <w:pPr>
        <w:widowControl/>
        <w:spacing w:line="360" w:lineRule="auto"/>
        <w:ind w:firstLine="48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十、补充协议</w:t>
      </w:r>
    </w:p>
    <w:p w14:paraId="2B6FAC74">
      <w:pPr>
        <w:widowControl/>
        <w:spacing w:line="360" w:lineRule="auto"/>
        <w:ind w:firstLine="48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合同未尽事宜，合同当事人另行签订补充协议，补充协议是合同的组成部分。</w:t>
      </w:r>
    </w:p>
    <w:p w14:paraId="66D78142">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十</w:t>
      </w:r>
      <w:r>
        <w:rPr>
          <w:rFonts w:hint="eastAsia" w:ascii="宋体" w:hAnsi="宋体" w:cs="宋体"/>
          <w:b/>
          <w:color w:val="000000" w:themeColor="text1"/>
          <w:kern w:val="0"/>
          <w:sz w:val="24"/>
          <w:highlight w:val="none"/>
          <w:lang w:val="en-US" w:eastAsia="zh-CN"/>
          <w14:textFill>
            <w14:solidFill>
              <w14:schemeClr w14:val="tx1"/>
            </w14:solidFill>
          </w14:textFill>
        </w:rPr>
        <w:t>一</w:t>
      </w:r>
      <w:r>
        <w:rPr>
          <w:rFonts w:hint="eastAsia" w:ascii="宋体" w:hAnsi="宋体" w:cs="宋体"/>
          <w:b/>
          <w:color w:val="000000" w:themeColor="text1"/>
          <w:kern w:val="0"/>
          <w:sz w:val="24"/>
          <w:highlight w:val="none"/>
          <w14:textFill>
            <w14:solidFill>
              <w14:schemeClr w14:val="tx1"/>
            </w14:solidFill>
          </w14:textFill>
        </w:rPr>
        <w:t>、合同生效</w:t>
      </w:r>
    </w:p>
    <w:p w14:paraId="4F3DF136">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本合同自</w:t>
      </w:r>
      <w:r>
        <w:rPr>
          <w:rFonts w:hint="eastAsia" w:ascii="宋体" w:hAnsi="宋体" w:cs="宋体"/>
          <w:color w:val="000000" w:themeColor="text1"/>
          <w:kern w:val="0"/>
          <w:sz w:val="24"/>
          <w:highlight w:val="none"/>
          <w:u w:val="single"/>
          <w14:textFill>
            <w14:solidFill>
              <w14:schemeClr w14:val="tx1"/>
            </w14:solidFill>
          </w14:textFill>
        </w:rPr>
        <w:t xml:space="preserve">  双方签字盖章  </w:t>
      </w:r>
      <w:r>
        <w:rPr>
          <w:rFonts w:hint="eastAsia" w:ascii="宋体" w:hAnsi="宋体" w:cs="宋体"/>
          <w:color w:val="000000" w:themeColor="text1"/>
          <w:kern w:val="0"/>
          <w:sz w:val="24"/>
          <w:highlight w:val="none"/>
          <w14:textFill>
            <w14:solidFill>
              <w14:schemeClr w14:val="tx1"/>
            </w14:solidFill>
          </w14:textFill>
        </w:rPr>
        <w:t>生效。</w:t>
      </w:r>
    </w:p>
    <w:p w14:paraId="65255324">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十</w:t>
      </w:r>
      <w:r>
        <w:rPr>
          <w:rFonts w:hint="eastAsia" w:ascii="宋体" w:hAnsi="宋体" w:cs="宋体"/>
          <w:b/>
          <w:color w:val="000000" w:themeColor="text1"/>
          <w:kern w:val="0"/>
          <w:sz w:val="24"/>
          <w:highlight w:val="none"/>
          <w:lang w:val="en-US" w:eastAsia="zh-CN"/>
          <w14:textFill>
            <w14:solidFill>
              <w14:schemeClr w14:val="tx1"/>
            </w14:solidFill>
          </w14:textFill>
        </w:rPr>
        <w:t>二</w:t>
      </w:r>
      <w:r>
        <w:rPr>
          <w:rFonts w:hint="eastAsia" w:ascii="宋体" w:hAnsi="宋体" w:cs="宋体"/>
          <w:b/>
          <w:color w:val="000000" w:themeColor="text1"/>
          <w:kern w:val="0"/>
          <w:sz w:val="24"/>
          <w:highlight w:val="none"/>
          <w14:textFill>
            <w14:solidFill>
              <w14:schemeClr w14:val="tx1"/>
            </w14:solidFill>
          </w14:textFill>
        </w:rPr>
        <w:t>、合同份数</w:t>
      </w:r>
    </w:p>
    <w:p w14:paraId="154088EB">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本合同一式</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份，均具有同等法律效力，发包人执</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份，承包人执</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份。</w:t>
      </w:r>
    </w:p>
    <w:p w14:paraId="37BB147A">
      <w:pPr>
        <w:spacing w:line="360" w:lineRule="auto"/>
        <w:rPr>
          <w:rFonts w:ascii="宋体" w:hAnsi="宋体" w:cs="宋体"/>
          <w:color w:val="000000" w:themeColor="text1"/>
          <w:sz w:val="24"/>
          <w:highlight w:val="none"/>
          <w14:textFill>
            <w14:solidFill>
              <w14:schemeClr w14:val="tx1"/>
            </w14:solidFill>
          </w14:textFill>
        </w:rPr>
      </w:pPr>
    </w:p>
    <w:p w14:paraId="4DD2102D">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发包人：  (公章)                   承包人：  (公章)                                 </w:t>
      </w:r>
    </w:p>
    <w:p w14:paraId="541D0D14">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法定代表人或其委托代理人：         法定代表人或其委托代理人：</w:t>
      </w:r>
    </w:p>
    <w:p w14:paraId="1895E519">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（签字）                          （签字）</w:t>
      </w:r>
    </w:p>
    <w:p w14:paraId="78882DBF">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地  址：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地  址：</w:t>
      </w:r>
      <w:r>
        <w:rPr>
          <w:rFonts w:hint="eastAsia" w:ascii="宋体" w:hAnsi="宋体" w:cs="宋体"/>
          <w:color w:val="000000" w:themeColor="text1"/>
          <w:sz w:val="24"/>
          <w:highlight w:val="none"/>
          <w:u w:val="single"/>
          <w14:textFill>
            <w14:solidFill>
              <w14:schemeClr w14:val="tx1"/>
            </w14:solidFill>
          </w14:textFill>
        </w:rPr>
        <w:t xml:space="preserve">        </w:t>
      </w:r>
    </w:p>
    <w:p w14:paraId="4C178659">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邮政编码：</w:t>
      </w:r>
      <w:r>
        <w:rPr>
          <w:rFonts w:hint="eastAsia" w:ascii="宋体" w:hAnsi="宋体" w:cs="宋体"/>
          <w:color w:val="000000" w:themeColor="text1"/>
          <w:sz w:val="24"/>
          <w:highlight w:val="none"/>
          <w:u w:val="single"/>
          <w14:textFill>
            <w14:solidFill>
              <w14:schemeClr w14:val="tx1"/>
            </w14:solidFill>
          </w14:textFill>
        </w:rPr>
        <w:t xml:space="preserve">        </w:t>
      </w:r>
      <w:r>
        <w:rPr>
          <w:rFonts w:hint="eastAsia" w:ascii="宋体" w:hAnsi="宋体" w:cs="宋体"/>
          <w:color w:val="000000" w:themeColor="text1"/>
          <w:sz w:val="24"/>
          <w:highlight w:val="none"/>
          <w14:textFill>
            <w14:solidFill>
              <w14:schemeClr w14:val="tx1"/>
            </w14:solidFill>
          </w14:textFill>
        </w:rPr>
        <w:t xml:space="preserve">      邮政编码：</w:t>
      </w:r>
      <w:r>
        <w:rPr>
          <w:rFonts w:hint="eastAsia" w:ascii="宋体" w:hAnsi="宋体" w:cs="宋体"/>
          <w:color w:val="000000" w:themeColor="text1"/>
          <w:sz w:val="24"/>
          <w:highlight w:val="none"/>
          <w:u w:val="single"/>
          <w14:textFill>
            <w14:solidFill>
              <w14:schemeClr w14:val="tx1"/>
            </w14:solidFill>
          </w14:textFill>
        </w:rPr>
        <w:t xml:space="preserve">   </w:t>
      </w:r>
    </w:p>
    <w:p w14:paraId="22BA306C">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r>
        <w:rPr>
          <w:rFonts w:hint="eastAsia" w:ascii="宋体" w:hAnsi="宋体" w:cs="宋体"/>
          <w:color w:val="000000" w:themeColor="text1"/>
          <w:sz w:val="24"/>
          <w:highlight w:val="none"/>
          <w:u w:val="single"/>
          <w14:textFill>
            <w14:solidFill>
              <w14:schemeClr w14:val="tx1"/>
            </w14:solidFill>
          </w14:textFill>
        </w:rPr>
        <w:t xml:space="preserve">              </w:t>
      </w:r>
      <w:r>
        <w:rPr>
          <w:rFonts w:hint="eastAsia" w:ascii="宋体" w:hAnsi="宋体" w:cs="宋体"/>
          <w:color w:val="000000" w:themeColor="text1"/>
          <w:sz w:val="24"/>
          <w:highlight w:val="none"/>
          <w14:textFill>
            <w14:solidFill>
              <w14:schemeClr w14:val="tx1"/>
            </w14:solidFill>
          </w14:textFill>
        </w:rPr>
        <w:t xml:space="preserve">      法定代表人：</w:t>
      </w:r>
      <w:r>
        <w:rPr>
          <w:rFonts w:hint="eastAsia" w:ascii="宋体" w:hAnsi="宋体" w:cs="宋体"/>
          <w:color w:val="000000" w:themeColor="text1"/>
          <w:sz w:val="24"/>
          <w:highlight w:val="none"/>
          <w:u w:val="single"/>
          <w14:textFill>
            <w14:solidFill>
              <w14:schemeClr w14:val="tx1"/>
            </w14:solidFill>
          </w14:textFill>
        </w:rPr>
        <w:t xml:space="preserve">             </w:t>
      </w:r>
    </w:p>
    <w:p w14:paraId="68AC83E1">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委托代理人：</w:t>
      </w:r>
      <w:r>
        <w:rPr>
          <w:rFonts w:hint="eastAsia" w:ascii="宋体" w:hAnsi="宋体" w:cs="宋体"/>
          <w:color w:val="000000" w:themeColor="text1"/>
          <w:sz w:val="24"/>
          <w:highlight w:val="none"/>
          <w:u w:val="single"/>
          <w14:textFill>
            <w14:solidFill>
              <w14:schemeClr w14:val="tx1"/>
            </w14:solidFill>
          </w14:textFill>
        </w:rPr>
        <w:t xml:space="preserve">             </w:t>
      </w:r>
    </w:p>
    <w:p w14:paraId="06E3BB20">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电  话：</w:t>
      </w:r>
      <w:r>
        <w:rPr>
          <w:rFonts w:hint="eastAsia" w:ascii="宋体" w:hAnsi="宋体" w:cs="宋体"/>
          <w:color w:val="000000" w:themeColor="text1"/>
          <w:sz w:val="24"/>
          <w:highlight w:val="none"/>
          <w:u w:val="single"/>
          <w14:textFill>
            <w14:solidFill>
              <w14:schemeClr w14:val="tx1"/>
            </w14:solidFill>
          </w14:textFill>
        </w:rPr>
        <w:t xml:space="preserve">     </w:t>
      </w:r>
    </w:p>
    <w:p w14:paraId="199C3B7C">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传  真：</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传  真：</w:t>
      </w:r>
      <w:r>
        <w:rPr>
          <w:rFonts w:hint="eastAsia" w:ascii="宋体" w:hAnsi="宋体" w:cs="宋体"/>
          <w:color w:val="000000" w:themeColor="text1"/>
          <w:sz w:val="24"/>
          <w:highlight w:val="none"/>
          <w:u w:val="single"/>
          <w14:textFill>
            <w14:solidFill>
              <w14:schemeClr w14:val="tx1"/>
            </w14:solidFill>
          </w14:textFill>
        </w:rPr>
        <w:t xml:space="preserve">     </w:t>
      </w:r>
    </w:p>
    <w:p w14:paraId="2E70E3E4">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开户银行：</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开户银行：</w:t>
      </w:r>
      <w:r>
        <w:rPr>
          <w:rFonts w:hint="eastAsia" w:ascii="宋体" w:hAnsi="宋体" w:cs="宋体"/>
          <w:color w:val="000000" w:themeColor="text1"/>
          <w:sz w:val="24"/>
          <w:highlight w:val="none"/>
          <w:u w:val="single"/>
          <w14:textFill>
            <w14:solidFill>
              <w14:schemeClr w14:val="tx1"/>
            </w14:solidFill>
          </w14:textFill>
        </w:rPr>
        <w:t xml:space="preserve">   </w:t>
      </w:r>
    </w:p>
    <w:p w14:paraId="3FB38686">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账  号：</w:t>
      </w:r>
      <w:r>
        <w:rPr>
          <w:rFonts w:hint="eastAsia" w:ascii="宋体" w:hAnsi="宋体" w:cs="宋体"/>
          <w:color w:val="000000" w:themeColor="text1"/>
          <w:sz w:val="24"/>
          <w:highlight w:val="none"/>
          <w:u w:val="single"/>
          <w14:textFill>
            <w14:solidFill>
              <w14:schemeClr w14:val="tx1"/>
            </w14:solidFill>
          </w14:textFill>
        </w:rPr>
        <w:t xml:space="preserve">          </w:t>
      </w:r>
      <w:r>
        <w:rPr>
          <w:rFonts w:hint="eastAsia" w:ascii="宋体" w:hAnsi="宋体" w:cs="宋体"/>
          <w:color w:val="000000" w:themeColor="text1"/>
          <w:sz w:val="24"/>
          <w:highlight w:val="none"/>
          <w14:textFill>
            <w14:solidFill>
              <w14:schemeClr w14:val="tx1"/>
            </w14:solidFill>
          </w14:textFill>
        </w:rPr>
        <w:t xml:space="preserve">      账  号：</w:t>
      </w:r>
      <w:r>
        <w:rPr>
          <w:rFonts w:hint="eastAsia" w:ascii="宋体" w:hAnsi="宋体" w:cs="宋体"/>
          <w:color w:val="000000" w:themeColor="text1"/>
          <w:sz w:val="24"/>
          <w:highlight w:val="none"/>
          <w:u w:val="single"/>
          <w14:textFill>
            <w14:solidFill>
              <w14:schemeClr w14:val="tx1"/>
            </w14:solidFill>
          </w14:textFill>
        </w:rPr>
        <w:t xml:space="preserve">     </w:t>
      </w:r>
    </w:p>
    <w:p w14:paraId="5B689542">
      <w:pPr>
        <w:pStyle w:val="3"/>
        <w:spacing w:line="360" w:lineRule="auto"/>
        <w:rPr>
          <w:rFonts w:hAnsi="宋体" w:cs="宋体"/>
          <w:color w:val="000000" w:themeColor="text1"/>
          <w:highlight w:val="none"/>
          <w14:textFill>
            <w14:solidFill>
              <w14:schemeClr w14:val="tx1"/>
            </w14:solidFill>
          </w14:textFill>
        </w:rPr>
      </w:pPr>
    </w:p>
    <w:p w14:paraId="2BDA8243">
      <w:pPr>
        <w:rPr>
          <w:rFonts w:hint="eastAsia" w:ascii="宋体" w:hAnsi="宋体" w:cs="宋体"/>
          <w:color w:val="000000" w:themeColor="text1"/>
          <w:highlight w:val="none"/>
          <w14:textFill>
            <w14:solidFill>
              <w14:schemeClr w14:val="tx1"/>
            </w14:solidFill>
          </w14:textFill>
        </w:rPr>
      </w:pPr>
      <w:bookmarkStart w:id="6" w:name="_Toc56007604"/>
      <w:bookmarkStart w:id="7" w:name="_Toc87519053"/>
      <w:bookmarkStart w:id="8" w:name="_Toc126315557"/>
      <w:r>
        <w:rPr>
          <w:rFonts w:hint="eastAsia" w:ascii="宋体" w:hAnsi="宋体" w:cs="宋体"/>
          <w:color w:val="000000" w:themeColor="text1"/>
          <w:highlight w:val="none"/>
          <w14:textFill>
            <w14:solidFill>
              <w14:schemeClr w14:val="tx1"/>
            </w14:solidFill>
          </w14:textFill>
        </w:rPr>
        <w:br w:type="page"/>
      </w:r>
    </w:p>
    <w:p w14:paraId="137775BE">
      <w:pPr>
        <w:pStyle w:val="2"/>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第二部分、通用合同条款</w:t>
      </w:r>
      <w:bookmarkEnd w:id="6"/>
      <w:bookmarkEnd w:id="7"/>
      <w:bookmarkEnd w:id="8"/>
    </w:p>
    <w:p w14:paraId="3D53AC9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 一般约定</w:t>
      </w:r>
    </w:p>
    <w:p w14:paraId="5D71E29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1.1词语定义与解释</w:t>
      </w:r>
    </w:p>
    <w:p w14:paraId="41E7E38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合同协议书、通用合同条款、专用合同条款中的下列词语具有本款所赋予的含义：</w:t>
      </w:r>
    </w:p>
    <w:p w14:paraId="6F8966E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 合同</w:t>
      </w:r>
    </w:p>
    <w:p w14:paraId="791AB62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6307192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1.1.1.2 合同协议书：是指构成合同的由发包人和承包人共同签署的称为“合同协议书”的书面文件。</w:t>
      </w:r>
    </w:p>
    <w:p w14:paraId="3435221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1.1.1.3 中标通知书：是指构成合同的由发包人通知承包人中标的书面文件。</w:t>
      </w:r>
    </w:p>
    <w:p w14:paraId="32D24E7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1.1.1.4 投标函：是指构成合同的由承包人填写并签署的用于投标的称为“投标函”的文件。</w:t>
      </w:r>
    </w:p>
    <w:p w14:paraId="0C94073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1.1.1.5 投标函附录：是指构成合同的附在投标函后的称为“投标函附录”的文件。</w:t>
      </w:r>
    </w:p>
    <w:p w14:paraId="2195751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1.1.1.6 技术标准和要求：是指构成合同的施工应当遵守的或指导施工的国家、行业或地方的技术标准和要求，以及合同约定的技术标准和要求。</w:t>
      </w:r>
    </w:p>
    <w:p w14:paraId="4822FE4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1.1.1.7 图纸：是指构成合同的图纸，包括由发包人按照合同约定提供或经发包人批准的设计文件、施工图、鸟瞰图及模型等，以及在合同履行过程中形成的图纸文件。图纸应当按照法律规定审查合格。</w:t>
      </w:r>
    </w:p>
    <w:p w14:paraId="75F77CC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1.1.1.8 已标价工程量清单：是指构成合同的由承包人按照规定的格式和要求填写并标明价格的工程量清单，包括说明和表格。</w:t>
      </w:r>
    </w:p>
    <w:p w14:paraId="72D69F3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1.1.1.9 预算书：是指构成合同的由承包人按照发包人规定的格式和要求编制的工程预算文件。</w:t>
      </w:r>
    </w:p>
    <w:p w14:paraId="26B576E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1.1.1.10 其他合同文件：是指经合同当事人约定的与工程施工有关的具有合同约束力的文件或书面协议。合同当事人可以在专用合同条款中进行约定。</w:t>
      </w:r>
    </w:p>
    <w:p w14:paraId="32AFA08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 合同当事人及其他相关方</w:t>
      </w:r>
    </w:p>
    <w:p w14:paraId="63DED72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1.1.2.1 合同当事人：是指发包人和（或）承包人。</w:t>
      </w:r>
    </w:p>
    <w:p w14:paraId="203CA53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1.1.2.2 发包人：是指与承包人签订合同协议书的当事人及取得该当事人资格的合法继承人。</w:t>
      </w:r>
    </w:p>
    <w:p w14:paraId="2EC462E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1.1.2.3 承包人：是指与发包人签订合同协议书的，具有相应工程施工承包资质的当事人及取得该当事人资格的合法继承人。</w:t>
      </w:r>
    </w:p>
    <w:p w14:paraId="4FB0A0F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1.1.2.4 监理人：是指在专用合同条款中指明的，受发包人委托按照法律规定进行工程监督管理的法人或其他组织。</w:t>
      </w:r>
    </w:p>
    <w:p w14:paraId="65233C6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1.1.2.5 设计人：是指在专用合同条款中指明的，受发包人委托负责工程设计并具备相应工程设计资质的法人或其他组织。</w:t>
      </w:r>
    </w:p>
    <w:p w14:paraId="715D1E0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1.1.2.6 分包人：是指按照法律规定和合同约定，分包部分工程或工作，并与承包人签订分包合同的具有相应资质的法人。</w:t>
      </w:r>
    </w:p>
    <w:p w14:paraId="3AA4F21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1.1.2.7 发包人代表：是指由发包人任命并派驻施工现场在发包人授权范围内行使发包人权利的人。</w:t>
      </w:r>
    </w:p>
    <w:p w14:paraId="06B755B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1.1.2.8 项目经理：是指由承包人任命并派驻施工现场，在承包人授权范围内负责合同履行，且按照法律规定具有相应资格的项目负责人。</w:t>
      </w:r>
    </w:p>
    <w:p w14:paraId="6FAEE41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1.1.2.9 总监理工程师：是指由监理人任命并派驻施工现场进行工程监理的总负责人。</w:t>
      </w:r>
    </w:p>
    <w:p w14:paraId="4CF838F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 工程和设备</w:t>
      </w:r>
    </w:p>
    <w:p w14:paraId="5589FF2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1.1.3.1 工程：是指与合同协议书中工程承包范围对应的永久工程和（或）临时工程。</w:t>
      </w:r>
    </w:p>
    <w:p w14:paraId="3A9A2E2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1.1.3.2 永久工程：是指按合同约定建造并移交给发包人的工程，包括工程设备。</w:t>
      </w:r>
    </w:p>
    <w:p w14:paraId="5DA8D89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1.1.3.3 临时工程：是指为完成合同约定的永久工程所修建的各类临时性工程，不包括施工设备。</w:t>
      </w:r>
    </w:p>
    <w:p w14:paraId="2C49C1A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1.1.3.4 单位工程：是指在合同协议书中指明的，具备独立施工条件并能形成独立使用功能的永久工程。</w:t>
      </w:r>
    </w:p>
    <w:p w14:paraId="2097EB8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1.1.3.5 工程设备：是指构成永久工程的机电设备、金属结构设备、仪器及其他类似的设备和装置。</w:t>
      </w:r>
    </w:p>
    <w:p w14:paraId="477F0D9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1.1.3.6 施工设备：是指为完成合同约定的各项工作所需的设备、器具和其他物品，但不包括工程设备、临时工程和材料。</w:t>
      </w:r>
    </w:p>
    <w:p w14:paraId="5CE1E72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1.1.3.7 施工现场：是指用于工程施工的场所，以及在专用合同条款中指明作为施工场所组成部分的其他场所，包括永久占地和临时占地。</w:t>
      </w:r>
    </w:p>
    <w:p w14:paraId="2FA46A4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1.1.3.8临时设施：是指为完成合同约定的各项工作所服务的临时性生产和生活设施。</w:t>
      </w:r>
    </w:p>
    <w:p w14:paraId="4A0CD69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1.1.3.9 永久占地：是指专用合同条款中指明为实施工程需永久占用的土地。</w:t>
      </w:r>
    </w:p>
    <w:p w14:paraId="40571A3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1.1.3.10 临时占地：是指专用合同条款中指明为实施工程需要临时占用的土地。</w:t>
      </w:r>
    </w:p>
    <w:p w14:paraId="4CE08BB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1.1.4 日期和期限</w:t>
      </w:r>
    </w:p>
    <w:p w14:paraId="6734CD7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1BC038C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1.1.4.2 竣工日期：包括计划竣工日期和实际竣工日期。计划竣工日期是指合同协议书约定的竣工日期；实际竣工日期按照第13.2.3项〔竣工日期〕的约定确定。 </w:t>
      </w:r>
    </w:p>
    <w:p w14:paraId="5ED7F55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1.1.4.3 工期：是指在合同协议书约定的承包人完成工程所需的期限，包括按照合同约定所作的期限变更。</w:t>
      </w:r>
    </w:p>
    <w:p w14:paraId="54E1160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1.1.4.4 缺陷责任期：是指承包人按照合同约定承担缺陷修复义务，且发包人预留质量保证金（已缴纳履约保证金的除外）的期限，自工程实际竣工日期起计算。</w:t>
      </w:r>
    </w:p>
    <w:p w14:paraId="658075C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1.1.4.5 保修期：是指承包人按照合同约定对工程承担保修责任的期限，从工程竣工验收合格之日起计算。</w:t>
      </w:r>
    </w:p>
    <w:p w14:paraId="5708DBA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1.1.4.6 基准日期：招标发包的工程以投标截止日前28天的日期为基准日期，直接发包的工程以合同签订日前28天的日期为基准日期。</w:t>
      </w:r>
    </w:p>
    <w:p w14:paraId="54C29D4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1.1.4.7 天：除特别指明外，均指日历天。合同中按天计算时间的，开始当天不计入，从次日开始计算，期限最后一天的截止时间为当天24:00时。</w:t>
      </w:r>
    </w:p>
    <w:p w14:paraId="385A3D9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1.1.5 合同价格和费用</w:t>
      </w:r>
    </w:p>
    <w:p w14:paraId="70E4247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1.1.5.1 签约合同价：是指发包人和承包人在合同协议书中确定的总金额，包括安全文明施工费等。</w:t>
      </w:r>
    </w:p>
    <w:p w14:paraId="19E1537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1.1.5.2 合同价格：是指发包人用于支付承包人按照合同约定完成承包范围内全部工作的金额，包括合同履行过程中按合同约定发生的价格变化。</w:t>
      </w:r>
    </w:p>
    <w:p w14:paraId="61C8F5D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1.1.5.3 费用：是指为履行合同所发生的或将要发生的所有必需的开支，包括管理费和应分摊的其他费用，但不包括利润。</w:t>
      </w:r>
    </w:p>
    <w:p w14:paraId="790634A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1.1.5.4 暂估价：是指发包人在工程量清单或预算书中提供的用于支付必然发生但暂时不能确定价格的材料、工程设备的单价、专业工程以及服务工作的金额。</w:t>
      </w:r>
    </w:p>
    <w:p w14:paraId="27E86F2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089101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1.1.5.6 计日工：是指合同履行过程中，承包人完成发包人提出的零星工作或需要采用计日工计价的变更工作时，按合同中约定的单价计价的一种方式。</w:t>
      </w:r>
    </w:p>
    <w:p w14:paraId="387D960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1.1.5.7 质量保证金：是指按照第15.3款〔质量保证金〕约定承包人用于保证其在缺陷责任期内履行缺陷修补义务的担保。</w:t>
      </w:r>
    </w:p>
    <w:p w14:paraId="6F55C6A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1.1.5.8 总价项目：是指在现行国家、行业以及地方的计量规则中无工程量计算规则，在已标价工程量清单或预算书中以总价或以费率形式计算的项目。</w:t>
      </w:r>
    </w:p>
    <w:p w14:paraId="6A15310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1.1.6 其他</w:t>
      </w:r>
    </w:p>
    <w:p w14:paraId="7BDF357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1.1.6.1 书面形式：是指合同文件、信函、电报、传真等可以有形地表现所载内容的形式。</w:t>
      </w:r>
    </w:p>
    <w:p w14:paraId="506C757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1.2语言文字</w:t>
      </w:r>
    </w:p>
    <w:p w14:paraId="6965306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合同以中国的汉语简体文字编写、解释和说明。合同当事人在专用合同条款中约定使用两种以上语言时，汉语为优先解释和说明合同的语言。</w:t>
      </w:r>
    </w:p>
    <w:p w14:paraId="5B1B484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1.3法律</w:t>
      </w:r>
    </w:p>
    <w:p w14:paraId="067E0D1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合同所称法律是指中华人民共和国法律、行政法规、部门规章，以及工程所在地的地方性法规、自治条例、单行条例和地方政府规章等。</w:t>
      </w:r>
    </w:p>
    <w:p w14:paraId="3A82F3C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合同当事人可以在专用合同条款中约定合同适用的其他规范性文件。</w:t>
      </w:r>
    </w:p>
    <w:p w14:paraId="70CE9CB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 标准和规范</w:t>
      </w:r>
    </w:p>
    <w:p w14:paraId="12DADAC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1.4.1 适用于工程的国家标准、行业标准、工程所在地的地方性标准，以及相应的规范、规程等，合同当事人有特别要求的，应在专用合同条款中约定。</w:t>
      </w:r>
    </w:p>
    <w:p w14:paraId="6EDE912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1.4.2 发包人要求使用国外标准、规范的，发包人负责提供原文版本和中文译本，并在专用合同条款中约定提供标准规范的名称、份数和时间。</w:t>
      </w:r>
    </w:p>
    <w:p w14:paraId="7B5750C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B1B64B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 合同文件的优先顺序</w:t>
      </w:r>
    </w:p>
    <w:p w14:paraId="1253480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组成合同的各项文件应互相解释，互为说明。除专用合同条款另有约定外，解释合同文件的优先顺序如下：</w:t>
      </w:r>
    </w:p>
    <w:p w14:paraId="7C6C9B6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（1）合同协议书；</w:t>
      </w:r>
    </w:p>
    <w:p w14:paraId="3ACDD6C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（2）中标通知书（如果有）；</w:t>
      </w:r>
    </w:p>
    <w:p w14:paraId="6A7E9A1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（3）投标函及其附录（如果有）；</w:t>
      </w:r>
    </w:p>
    <w:p w14:paraId="26DC43B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（4）专用合同条款及其附件；</w:t>
      </w:r>
    </w:p>
    <w:p w14:paraId="44ED3DE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（5）通用合同条款；</w:t>
      </w:r>
    </w:p>
    <w:p w14:paraId="06F0116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（6）技术标准和要求；</w:t>
      </w:r>
    </w:p>
    <w:p w14:paraId="128215B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（7）图纸；</w:t>
      </w:r>
    </w:p>
    <w:p w14:paraId="0BA5259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（8）已标价工程量清单或预算书；</w:t>
      </w:r>
    </w:p>
    <w:p w14:paraId="4A83B0F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（9）其他合同文件。</w:t>
      </w:r>
    </w:p>
    <w:p w14:paraId="7FC2424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上述各项合同文件包括合同当事人就该项合同文件所作出的补充和修改，属于同一类内容的文件，应以最新签署的为准。</w:t>
      </w:r>
    </w:p>
    <w:p w14:paraId="3977BCC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在合同订立及履行过程中形成的与合同有关的文件均构成合同文件组成部分，并根据其性质确定优先解释顺序。</w:t>
      </w:r>
    </w:p>
    <w:p w14:paraId="116193E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1.6图纸和承包人文件</w:t>
      </w:r>
    </w:p>
    <w:p w14:paraId="2B04029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1.6.1 图纸的提供和交底</w:t>
      </w:r>
    </w:p>
    <w:p w14:paraId="42304E7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6409487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因发包人未按合同约定提供图纸导致承包人费用增加和（或）工期延误的，按照第7.5.1项〔因发包人原因导致工期延误〕约定办理。</w:t>
      </w:r>
    </w:p>
    <w:p w14:paraId="73C5C9D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1.6.2 图纸的错误</w:t>
      </w:r>
    </w:p>
    <w:p w14:paraId="08552EC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3DAAA62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1.6.3 图纸的修改和补充</w:t>
      </w:r>
    </w:p>
    <w:p w14:paraId="38A74FA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图纸需要修改和补充的，应经图纸原设计人及审批部门同意，并由监理人在工程或工程相应部位施工前将修改后的图纸或补充图纸提交给承包人，承包人应按修改或补充后的图纸施工。</w:t>
      </w:r>
    </w:p>
    <w:p w14:paraId="2F4D707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1.6.4 承包人文件</w:t>
      </w:r>
    </w:p>
    <w:p w14:paraId="4F7EDCF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承包人应按照专用合同条款的约定提供应当由其编制的与工程施工有关的文件，并按照专用合同条款约定的期限、数量和形式提交监理人，并由监理人报送发包人。</w:t>
      </w:r>
    </w:p>
    <w:p w14:paraId="442A578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35355CE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1.6.5 图纸和承包人文件的保管</w:t>
      </w:r>
    </w:p>
    <w:p w14:paraId="5D744F4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除专用合同条款另有约定外，承包人应在施工现场另外保存一套完整的图纸和承包人文件，供发包人、监理人及有关人员进行工程检查时使用。</w:t>
      </w:r>
    </w:p>
    <w:p w14:paraId="76FC679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1.7联络</w:t>
      </w:r>
    </w:p>
    <w:p w14:paraId="263B785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1.7.1 与合同有关的通知、批准、证明、证书、指示、指令、要求、请求、同意、意见、确定和决定等，均应采用书面形式，并应在合同约定的期限内送达接收人和送达地点。</w:t>
      </w:r>
    </w:p>
    <w:p w14:paraId="3784614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1.7.2 发包人和承包人应在专用合同条款中约定各自的送达接收人和送达地点。任何一方合同当事人指定的接收人或送达地点发生变动的，应提前3天以书面形式通知对方。</w:t>
      </w:r>
    </w:p>
    <w:p w14:paraId="0A44267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1.7.3 发包人和承包人应当及时签收另一方送达至送达地点和指定接收人的来往信函。拒不签收的，由此增加的费用和（或）延误的工期由拒绝接收一方承担。</w:t>
      </w:r>
    </w:p>
    <w:p w14:paraId="13DDAA8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1.8严禁贿赂</w:t>
      </w:r>
    </w:p>
    <w:p w14:paraId="0E182B2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合同当事人不得以贿赂或变相贿赂的方式，谋取非法利益或损害对方权益。因一方合同当事人的贿赂造成对方损失的，应赔偿损失，并承担相应的法律责任。</w:t>
      </w:r>
    </w:p>
    <w:p w14:paraId="26D2D64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承包人不得与监理人或发包人聘请的第三方串通损害发包人利益。未经发包人书面同意，承包人不得为监理人提供合同约定以外的通讯设备、交通工具及其他任何形式的利益，不得向监理人支付报酬。</w:t>
      </w:r>
    </w:p>
    <w:p w14:paraId="04BAB9D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1.9化石、文物</w:t>
      </w:r>
    </w:p>
    <w:p w14:paraId="6759FB2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55D0C4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发包人、监理人和承包人应按有关政府行政管理部门要求采取妥善的保护措施，由此增加的费用和（或）延误的工期由发包人承担。</w:t>
      </w:r>
    </w:p>
    <w:p w14:paraId="5A01A20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承包人发现文物后不及时报告或隐瞒不报，致使文物丢失或损坏的，应赔偿损失，并承担相应的法律责任。</w:t>
      </w:r>
    </w:p>
    <w:p w14:paraId="405E70B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1.10交通运输</w:t>
      </w:r>
    </w:p>
    <w:p w14:paraId="4AF8B7D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1.10.1 出入现场的权利</w:t>
      </w:r>
    </w:p>
    <w:p w14:paraId="2DE541C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D4E199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承包人应在订立合同前查勘施工现场，并根据工程规模及技术参数合理预见工程施工所需的进出施工现场的方式、手段、路径等。因承包人未合理预见所增加的费用和（或）延误的工期由承包人承担。</w:t>
      </w:r>
    </w:p>
    <w:p w14:paraId="43ABD27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1.10.2 场外交通</w:t>
      </w:r>
    </w:p>
    <w:p w14:paraId="0E71AC1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304742B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1.10.3场内交通</w:t>
      </w:r>
    </w:p>
    <w:p w14:paraId="138F4E4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46AD4D3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ECA67E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场外交通和场内交通的边界由合同当事人在专用合同条款中约定。</w:t>
      </w:r>
    </w:p>
    <w:p w14:paraId="19E099A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1.10.4 超大件和超重件的运输</w:t>
      </w:r>
    </w:p>
    <w:p w14:paraId="5A3774A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5B665D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1.10.5 道路和桥梁的损坏责任</w:t>
      </w:r>
    </w:p>
    <w:p w14:paraId="4A334C8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因承包人运输造成施工场地内外公共道路和桥梁损坏的，由承包人承担修复损坏的全部费用和可能引起的赔偿。</w:t>
      </w:r>
    </w:p>
    <w:p w14:paraId="29904D9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1.10.6 水路和航空运输</w:t>
      </w:r>
    </w:p>
    <w:p w14:paraId="7FAB54C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本款前述各项的内容适用于水路运输和航空运输，其中“道路”一词的涵义包括河道、航线、船闸、机场、码头、堤防以及水路或航空运输中其他相似结构物；“车辆”一词的涵义包括船舶和飞机等。</w:t>
      </w:r>
    </w:p>
    <w:p w14:paraId="4493719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1.11知识产权 </w:t>
      </w:r>
    </w:p>
    <w:p w14:paraId="3F7F1A0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60EC2D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42DD12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52122F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1.11.4 除专用合同条款另有约定外，承包人在合同签订前和签订时已确定采用的专利、专有技术、技术秘密的使用费已包含在签约合同价中。</w:t>
      </w:r>
    </w:p>
    <w:p w14:paraId="5094594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1.12保密</w:t>
      </w:r>
    </w:p>
    <w:p w14:paraId="7026603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除法律规定或合同另有约定外，未经发包人同意，承包人不得将发包人提供的图纸、文件以及声明需要保密的资料信息等商业秘密泄露给第三方。</w:t>
      </w:r>
    </w:p>
    <w:p w14:paraId="76584CA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除法律规定或合同另有约定外，未经承包人同意，发包人不得将承包人提供的技术秘密及声明需要保密的资料信息等商业秘密泄露给第三方。</w:t>
      </w:r>
    </w:p>
    <w:p w14:paraId="7871FE8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1.13工程量清单错误的修正</w:t>
      </w:r>
    </w:p>
    <w:p w14:paraId="5D6601A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除专用合同条款另有约定外，发包人提供的工程量清单，应被认为是准确的和完整的。出现下列情形之一时，发包人应予以修正，并相应调整合同价格：</w:t>
      </w:r>
    </w:p>
    <w:p w14:paraId="73E96AD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（1）工程量清单存在缺项、漏项的；</w:t>
      </w:r>
    </w:p>
    <w:p w14:paraId="6DD3EF6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（2）工程量清单偏差超出专用合同条款约定的工程量偏差范围的；</w:t>
      </w:r>
    </w:p>
    <w:p w14:paraId="6AE2022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（3）未按照国家现行计量规范强制性规定计量的。</w:t>
      </w:r>
    </w:p>
    <w:p w14:paraId="304E0F1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 发包人</w:t>
      </w:r>
    </w:p>
    <w:p w14:paraId="5FA8E81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2.1 许可或批准</w:t>
      </w:r>
    </w:p>
    <w:p w14:paraId="61032FE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D0AB49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因发包人原因未能及时办理完毕前述许可、批准或备案，由发包人承担由此增加的费用和（或）延误的工期，并支付承包人合理的利润。</w:t>
      </w:r>
    </w:p>
    <w:p w14:paraId="1FC5457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2.2 发包人代表</w:t>
      </w:r>
    </w:p>
    <w:p w14:paraId="6865075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04C3AF9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发包人代表不能按照合同约定履行其职责及义务，并导致合同无法继续正常履行的，承包人可以要求发包人撤换发包人代表。</w:t>
      </w:r>
    </w:p>
    <w:p w14:paraId="58403D1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不属于法定必须监理的工程，监理人的职权可以由发包人代表或发包人指定的其他人员行使。</w:t>
      </w:r>
    </w:p>
    <w:p w14:paraId="28EEA6E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2.3 发包人人员</w:t>
      </w:r>
    </w:p>
    <w:p w14:paraId="75166CA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发包人应要求在施工现场的发包人人员遵守法律及有关安全、质量、环境保护、文明施工等规定，并保障承包人免于承受因发包人人员未遵守上述要求给承包人造成的损失和责任。</w:t>
      </w:r>
    </w:p>
    <w:p w14:paraId="42F5093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发包人人员包括发包人代表及其他由发包人派驻施工现场的人员。</w:t>
      </w:r>
    </w:p>
    <w:p w14:paraId="7A2E589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2.4 施工现场、施工条件和基础资料的提供  </w:t>
      </w:r>
    </w:p>
    <w:p w14:paraId="0F84561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2.4.1 提供施工现场</w:t>
      </w:r>
    </w:p>
    <w:p w14:paraId="458B83E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除专用合同条款另有约定外，发包人应最迟于开工日期7天前向承包人移交施工现场。</w:t>
      </w:r>
    </w:p>
    <w:p w14:paraId="7781080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2.4.2 提供施工条件</w:t>
      </w:r>
    </w:p>
    <w:p w14:paraId="199A2C8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除专用合同条款另有约定外，发包人应负责提供施工所需要的条件，包括：</w:t>
      </w:r>
    </w:p>
    <w:p w14:paraId="7BF5AF7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（1）将施工用水、电力、通讯线路等施工所必需的条件接至施工现场内；</w:t>
      </w:r>
    </w:p>
    <w:p w14:paraId="53C7A29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（2）保证向承包人提供正常施工所需要的进入施工现场的交通条件；</w:t>
      </w:r>
    </w:p>
    <w:p w14:paraId="59C4BF1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（3）协调处理施工现场周围地下管线和邻近建筑物、构筑物、古树名木的保护工作，并承担相关费用；</w:t>
      </w:r>
    </w:p>
    <w:p w14:paraId="61B76D3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（4）按照专用合同条款约定应提供的其他设施和条件。</w:t>
      </w:r>
    </w:p>
    <w:p w14:paraId="66E7F40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2.4.3 提供基础资料</w:t>
      </w:r>
    </w:p>
    <w:p w14:paraId="0E01F11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038412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按照法律规定确需在开工后方能提供的基础资料，发包人应尽其努力及时地在相应工程施工前的合理期限内提供，合理期限应以不影响承包人的正常施工为限。</w:t>
      </w:r>
    </w:p>
    <w:p w14:paraId="3300944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2.4.4 逾期提供的责任</w:t>
      </w:r>
    </w:p>
    <w:p w14:paraId="2FDE84E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因发包人原因未能按合同约定及时向承包人提供施工现场、施工条件、基础资料的，由发包人承担由此增加的费用和（或）延误的工期。</w:t>
      </w:r>
    </w:p>
    <w:p w14:paraId="334DC16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2.5 资金来源证明及支付担保</w:t>
      </w:r>
    </w:p>
    <w:p w14:paraId="3456F8C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除专用合同条款另有约定外，发包人应在收到承包人要求提供资金来源证明的书面通知后28天内，向承包人提供能够按照合同约定支付合同价款的相应资金来源证明。</w:t>
      </w:r>
    </w:p>
    <w:p w14:paraId="1A753DF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除专用合同条款另有约定外，发包人要求承包人提供履约担保的，发包人应当向承包人提供支付担保。支付担保可以采用银行保函或担保公司担保等形式，具体由合同当事人在专用合同条款中约定。</w:t>
      </w:r>
    </w:p>
    <w:p w14:paraId="671BC3C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2.6 支付合同价款</w:t>
      </w:r>
    </w:p>
    <w:p w14:paraId="4F90FB2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发包人应按合同约定向承包人及时支付合同价款。</w:t>
      </w:r>
    </w:p>
    <w:p w14:paraId="0CA479A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2.7 组织竣工验收</w:t>
      </w:r>
    </w:p>
    <w:p w14:paraId="7DCBCEA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发包人应按合同约定及时组织竣工验收。</w:t>
      </w:r>
    </w:p>
    <w:p w14:paraId="3FAF721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2.8 现场统一管理协议</w:t>
      </w:r>
    </w:p>
    <w:p w14:paraId="5C78755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发包人应与承包人、由发包人直接发包的专业工程的承包人签订施工现场统一管理协议，明确各方的权利义务。施工现场统一管理协议作为专用合同条款的附件。</w:t>
      </w:r>
    </w:p>
    <w:p w14:paraId="359A0A9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 承包人</w:t>
      </w:r>
    </w:p>
    <w:p w14:paraId="06F1C58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3.1 承包人的一般义务</w:t>
      </w:r>
    </w:p>
    <w:p w14:paraId="3C6988E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承包人在履行合同过程中应遵守法律和工程建设标准规范，并履行以下义务：</w:t>
      </w:r>
    </w:p>
    <w:p w14:paraId="54962E9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（1）办理法律规定应由承包人办理的许可和批准，并将办理结果书面报送发包人留存；</w:t>
      </w:r>
    </w:p>
    <w:p w14:paraId="4D7E1A0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（2）按法律规定和合同约定完成工程，并在保修期内承担保修义务；</w:t>
      </w:r>
    </w:p>
    <w:p w14:paraId="3037E9A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（3）按法律规定和合同约定采取施工安全和环境保护措施，办理工伤保险，确保工程及人员、材料、设备和设施的安全；</w:t>
      </w:r>
    </w:p>
    <w:p w14:paraId="7A82589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（4）按合同约定的工作内容和施工进度要求，编制施工组织设计和施工措施计划，并对所有施工作业和施工方法的完备性和安全可靠性负责；</w:t>
      </w:r>
    </w:p>
    <w:p w14:paraId="360AA4A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2D545E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（6）按照第6.3款〔环境保护〕约定负责施工场地及其周边环境与生态的保护工作；</w:t>
      </w:r>
    </w:p>
    <w:p w14:paraId="4CBE790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（7）按第6.1款〔安全文明施工〕约定采取施工安全措施，确保工程及其人员、材料、设备和设施的安全，防止因工程施工造成的人身伤害和财产损失；</w:t>
      </w:r>
    </w:p>
    <w:p w14:paraId="63BF1D0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（8）将发包人按合同约定支付的各项价款专用于合同工程，且应及时支付其雇用人员工资，并及时向分包人支付合同价款；</w:t>
      </w:r>
    </w:p>
    <w:p w14:paraId="4E2A6DE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（9）按照法律规定和合同约定编制竣工资料，完成竣工资料立卷及归档，并按专用合同条款约定的竣工资料的套数、内容、时间等要求移交发包人；</w:t>
      </w:r>
    </w:p>
    <w:p w14:paraId="74A2DC6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（10）应履行的其他义务。</w:t>
      </w:r>
    </w:p>
    <w:p w14:paraId="33EBCCD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3.2 项目经理</w:t>
      </w:r>
    </w:p>
    <w:p w14:paraId="585C579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50AD724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94129B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承包人违反上述约定的，应按照专用合同条款的约定，承担违约责任。</w:t>
      </w:r>
    </w:p>
    <w:p w14:paraId="763F154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16B5FE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2146E6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5F0F26A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3.2.5 项目经理因特殊情况授权其下属人员履行其某项工作职责的，该下属人员应具备履行相应职责的能力，并应提前7天将上述人员的姓名和授权范围书面通知监理人，并征得发包人书面同意。</w:t>
      </w:r>
    </w:p>
    <w:p w14:paraId="1179A31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3.3 承包人人员</w:t>
      </w:r>
    </w:p>
    <w:p w14:paraId="568EFEB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6BE827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7F4E2D2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特殊工种作业人员均应持有相应的资格证明，监理人可以随时检查。</w:t>
      </w:r>
    </w:p>
    <w:p w14:paraId="44D6138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CF3EFD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F5E8C8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3.3.5 承包人擅自更换主要施工管理人员，或前述人员未经监理人或发包人同意擅自离开施工现场的，应按照专用合同条款约定承担违约责任。</w:t>
      </w:r>
    </w:p>
    <w:p w14:paraId="4469C32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3.4 承包人现场查勘</w:t>
      </w:r>
    </w:p>
    <w:p w14:paraId="402F2B4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承包人应对基于发包人按照第2.4.3项〔提供基础资料〕提交的基础资料所做出的解释和推断负责，但因基础资料存在错误、遗漏导致承包人解释或推断失实的，由发包人承担责任。</w:t>
      </w:r>
    </w:p>
    <w:p w14:paraId="191AA05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134F4C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3.5 分包</w:t>
      </w:r>
    </w:p>
    <w:p w14:paraId="6F242E9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3.5.1 分包的一般约定</w:t>
      </w:r>
    </w:p>
    <w:p w14:paraId="4D27186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885E58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承包人不得以劳务分包的名义转包或违法分包工程。</w:t>
      </w:r>
    </w:p>
    <w:p w14:paraId="280A3D1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3.5.2 分包的确定</w:t>
      </w:r>
    </w:p>
    <w:p w14:paraId="4996CB4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21A8B91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3.5.3 分包管理</w:t>
      </w:r>
    </w:p>
    <w:p w14:paraId="5633D43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承包人应向监理人提交分包人的主要施工管理人员表，并对分包人的施工人员进行实名制管理，包括但不限于进出场管理、登记造册以及各种证照的办理。</w:t>
      </w:r>
    </w:p>
    <w:p w14:paraId="26050E0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3.5.4 分包合同价款</w:t>
      </w:r>
    </w:p>
    <w:p w14:paraId="0814D73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（1）除本项第（2）目约定的情况或专用合同条款另有约定外，分包合同价款由承包人与分包人结算，未经承包人同意，发包人不得向分包人支付分包工程价款；</w:t>
      </w:r>
    </w:p>
    <w:p w14:paraId="2D8C4CC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（2）生效法律文书要求发包人向分包人支付分包合同价款的，发包人有权从应付承包人工程款中扣除该部分款项。</w:t>
      </w:r>
    </w:p>
    <w:p w14:paraId="6F55462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3.5.5 分包合同权益的转让</w:t>
      </w:r>
    </w:p>
    <w:p w14:paraId="47DB9B1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26708EC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3.6 工程照管与成品、半成品保护</w:t>
      </w:r>
    </w:p>
    <w:p w14:paraId="55B6527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（1）除专用合同条款另有约定外，自发包人向承包人移交施工现场之日起，承包人应负责照管工程及工程相关的材料、工程设备，直到颁发工程接收证书之日止。</w:t>
      </w:r>
    </w:p>
    <w:p w14:paraId="2A59C7F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（2）在承包人负责照管期间，因承包人原因造成工程、材料、工程设备损坏的，由承包人负责修复或更换，并承担由此增加的费用和（或）延误的工期。</w:t>
      </w:r>
    </w:p>
    <w:p w14:paraId="6493BD5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（3）对合同内分期完成的成品和半成品，在工程接收证书颁发前，由承包人承担保护责任。因承包人原因造成成品或半成品损坏的，由承包人负责修复或更换，并承担由此增加的费用和（或）延误的工期。</w:t>
      </w:r>
    </w:p>
    <w:p w14:paraId="18D1555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3.7 履约担保</w:t>
      </w:r>
    </w:p>
    <w:p w14:paraId="13D97E1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9EC44D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因承包人原因导致工期延长的，继续提供履约担保所增加的费用由承包人承担；非因承包人原因导致工期延长的，继续提供履约担保所增加的费用由发包人承担。</w:t>
      </w:r>
    </w:p>
    <w:p w14:paraId="4AB84E9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3.8 联合体</w:t>
      </w:r>
    </w:p>
    <w:p w14:paraId="1ABC90B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3.8.1 联合体各方应共同与发包人签订合同协议书。联合体各方应为履行合同向发包人承担连带责任。</w:t>
      </w:r>
    </w:p>
    <w:p w14:paraId="5C70E9C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3.8.2 联合体协议经发包人确认后作为合同附件。在履行合同过程中，未经发包人同意，不得修改联合体协议。</w:t>
      </w:r>
    </w:p>
    <w:p w14:paraId="44697D5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3.8.3 联合体牵头人负责与发包人和监理人联系，并接受指示，负责组织联合体各成员全面履行合同。</w:t>
      </w:r>
    </w:p>
    <w:p w14:paraId="7037685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 监理人</w:t>
      </w:r>
    </w:p>
    <w:p w14:paraId="1D64416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4.1监理人的一般规定</w:t>
      </w:r>
    </w:p>
    <w:p w14:paraId="1EB0E23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A90199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除专用合同条款另有约定外，监理人在施工现场的办公场所、生活场所由承包人提供，所发生的费用由发包人承担。</w:t>
      </w:r>
    </w:p>
    <w:p w14:paraId="6590A04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4.2监理人员</w:t>
      </w:r>
    </w:p>
    <w:p w14:paraId="55311B9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334E25E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4.3监理人的指示</w:t>
      </w:r>
    </w:p>
    <w:p w14:paraId="0313993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78B93E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ECB21B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承包人对监理人发出的指示有疑问的，应向监理人提出书面异议，监理人应在48小时内对该指示予以确认、更改或撤销，监理人逾期未回复的，承包人有权拒绝执行上述指示。</w:t>
      </w:r>
    </w:p>
    <w:p w14:paraId="2CE6403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监理人对承包人的任何工作、工程或其采用的材料和工程设备未在约定的或合理期限内提出意见的，视为批准，但不免除或减轻承包人对该工作、工程、材料、工程设备等应承担的责任和义务。</w:t>
      </w:r>
    </w:p>
    <w:p w14:paraId="390591B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4.4 商定或确定</w:t>
      </w:r>
    </w:p>
    <w:p w14:paraId="4C3DDED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合同当事人进行商定或确定时，总监理工程师应当会同合同当事人尽量通过协商达成一致，不能达成一致的，由总监理工程师按照合同约定审慎做出公正的确定。</w:t>
      </w:r>
    </w:p>
    <w:p w14:paraId="21317BF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29E2D2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 工程质量</w:t>
      </w:r>
    </w:p>
    <w:p w14:paraId="691F482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5.1质量要求</w:t>
      </w:r>
    </w:p>
    <w:p w14:paraId="6950016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5.1.1 工程质量标准必须符合现行国家有关工程施工质量验收规范和标准的要求。有关工程质量的特殊标准或要求由合同当事人在专用合同条款中约定。</w:t>
      </w:r>
    </w:p>
    <w:p w14:paraId="2D4145A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5.1.2 因发包人原因造成工程质量未达到合同约定标准的，由发包人承担由此增加的费用和（或）延误的工期，并支付承包人合理的利润。</w:t>
      </w:r>
    </w:p>
    <w:p w14:paraId="113768F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5.1.3 因承包人原因造成工程质量未达到合同约定标准的，发包人有权要求承包人返工直至工程质量达到合同约定的标准为止，并由承包人承担由此增加的费用和（或）延误的工期。</w:t>
      </w:r>
    </w:p>
    <w:p w14:paraId="73DA7A0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5.2质量保证措施</w:t>
      </w:r>
    </w:p>
    <w:p w14:paraId="0C266C1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5.2.1 发包人的质量管理</w:t>
      </w:r>
    </w:p>
    <w:p w14:paraId="77665BF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发包人应按照法律规定及合同约定完成与工程质量有关的各项工作。</w:t>
      </w:r>
    </w:p>
    <w:p w14:paraId="0F42509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5.2.2 承包人的质量管理</w:t>
      </w:r>
    </w:p>
    <w:p w14:paraId="03BFF4E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D69B18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承包人应对施工人员进行质量教育和技术培训，定期考核施工人员的劳动技能，严格执行施工规范和操作规程。</w:t>
      </w:r>
    </w:p>
    <w:p w14:paraId="5BD5E4E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FC2627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5.2.3 监理人的质量检查和检验</w:t>
      </w:r>
    </w:p>
    <w:p w14:paraId="0A675CD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CE827F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B2CE2D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5.3 隐蔽工程检查</w:t>
      </w:r>
    </w:p>
    <w:p w14:paraId="4F21758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5.3.1承包人自检</w:t>
      </w:r>
    </w:p>
    <w:p w14:paraId="54F289E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承包人应当对工程隐蔽部位进行自检，并经自检确认是否具备覆盖条件。</w:t>
      </w:r>
    </w:p>
    <w:p w14:paraId="4E73DDC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5.3.2检查程序</w:t>
      </w:r>
    </w:p>
    <w:p w14:paraId="76E7D08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710BC5D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F9CCDF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60D33C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5.3.3 重新检查</w:t>
      </w:r>
    </w:p>
    <w:p w14:paraId="696568C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1190F1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5.3.4 承包人私自覆盖</w:t>
      </w:r>
    </w:p>
    <w:p w14:paraId="3B4EC77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承包人未通知监理人到场检查，私自将工程隐蔽部位覆盖的，监理人有权指示承包人钻孔探测或揭开检查，无论工程隐蔽部位质量是否合格，由此增加的费用和（或）延误的工期均由承包人承担。</w:t>
      </w:r>
    </w:p>
    <w:p w14:paraId="5F18A4E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5.4不合格工程的处理</w:t>
      </w:r>
    </w:p>
    <w:p w14:paraId="5C5DE49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1AD6273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5.4.2 因发包人原因造成工程不合格的，由此增加的费用和（或）延误的工期由发包人承担，并支付承包人合理的利润。</w:t>
      </w:r>
    </w:p>
    <w:p w14:paraId="0FAB45A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5.5 质量争议检测</w:t>
      </w:r>
    </w:p>
    <w:p w14:paraId="035989C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合同当事人对工程质量有争议的，由双方协商确定的工程质量检测机构鉴定，由此产生的费用及因此造成的损失，由责任方承担。</w:t>
      </w:r>
    </w:p>
    <w:p w14:paraId="08AB8E6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合同当事人均有责任的，由双方根据其责任分别承担。合同当事人无法达成一致的，按照第4.4款〔商定或确定〕执行。</w:t>
      </w:r>
    </w:p>
    <w:p w14:paraId="3B3B1AD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 安全文明施工与环境保护</w:t>
      </w:r>
    </w:p>
    <w:p w14:paraId="7B7F84C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6.1安全文明施工</w:t>
      </w:r>
    </w:p>
    <w:p w14:paraId="3CC95A0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6.1.1安全生产要求</w:t>
      </w:r>
    </w:p>
    <w:p w14:paraId="4A1D735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AAF645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在施工过程中，如遇到突发的地质变动、事先未知的地下施工障碍等影响施工安全的紧急情况，承包人应及时报告监理人和发包人，发包人应当及时下令停工并报政府有关行政管理部门采取应急措施。</w:t>
      </w:r>
    </w:p>
    <w:p w14:paraId="2C1787F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因安全生产需要暂停施工的，按照第7.8款〔暂停施工〕的约定执行。</w:t>
      </w:r>
    </w:p>
    <w:p w14:paraId="2E9A260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6.1.2 安全生产保证措施</w:t>
      </w:r>
    </w:p>
    <w:p w14:paraId="61B7957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474D7D8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6.1.3特别安全生产事项</w:t>
      </w:r>
    </w:p>
    <w:p w14:paraId="3061E9A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9242A8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承包人在动力设备、输电线路、地下管道、密封防震车间、易燃易爆地段以及临街交通要道附近施工时，施工开始前应向发包人和监理人提出安全防护措施，经发包人认可后实施。 </w:t>
      </w:r>
    </w:p>
    <w:p w14:paraId="0ADD061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实施爆破作业，在放射、毒害性环境中施工（含储存、运输、使用）及使用毒害性、腐蚀性物品施工时，承包人应在施工前7天以书面通知发包人和监理人，并报送相应的安全防护措施，经发包人认可后实施。</w:t>
      </w:r>
    </w:p>
    <w:p w14:paraId="3D8F6FD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需单独编制危险性较大分部分项专项工程施工方案的，及要求进行专家论证的超过一定规模的危险性较大的分部分项工程，承包人应及时编制和组织论证。</w:t>
      </w:r>
    </w:p>
    <w:p w14:paraId="55AC468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6.1.4 治安保卫</w:t>
      </w:r>
    </w:p>
    <w:p w14:paraId="74F758B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除专用合同条款另有约定外，发包人应与当地公安部门协商，在现场建立治安管理机构或联防组织，统一管理施工场地的治安保卫事项，履行合同工程的治安保卫职责。</w:t>
      </w:r>
    </w:p>
    <w:p w14:paraId="6B83653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发包人和承包人除应协助现场治安管理机构或联防组织维护施工场地的社会治安外，还应做好包括生活区在内的各自管辖区的治安保卫工作。</w:t>
      </w:r>
    </w:p>
    <w:p w14:paraId="5A9C431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B7DBF1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6.1.5 文明施工</w:t>
      </w:r>
    </w:p>
    <w:p w14:paraId="44B0B79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72FDB3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182C7AE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6.1.6 安全文明施工费</w:t>
      </w:r>
    </w:p>
    <w:p w14:paraId="31AB99E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安全文明施工费由发包人承担，发包人不得以任何形式扣减该部分费用。因基准日期后合同所适用的法律或政府有关规定发生变化，增加的安全文明施工费由发包人承担。</w:t>
      </w:r>
    </w:p>
    <w:p w14:paraId="5F10DC7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9DF633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805AC5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6451B5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6.1.7 紧急情况处理</w:t>
      </w:r>
    </w:p>
    <w:p w14:paraId="4FE2D08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9FE318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6.1.8 事故处理</w:t>
      </w:r>
    </w:p>
    <w:p w14:paraId="4C9B7B3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6EF47C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6.1.9 安全生产责任</w:t>
      </w:r>
    </w:p>
    <w:p w14:paraId="6AA4F1C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6.1.9.1 发包人的安全责任</w:t>
      </w:r>
    </w:p>
    <w:p w14:paraId="26172FC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发包人应负责赔偿以下各种情况造成的损失：</w:t>
      </w:r>
    </w:p>
    <w:p w14:paraId="7D81B4F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（1）工程或工程的任何部分对土地的占用所造成的第三者财产损失；</w:t>
      </w:r>
    </w:p>
    <w:p w14:paraId="3628589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（2）由于发包人原因在施工场地及其毗邻地带造成的第三者人身伤亡和财产损失；</w:t>
      </w:r>
    </w:p>
    <w:p w14:paraId="4E32B9B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（3）由于发包人原因对承包人、监理人造成的人员人身伤亡和财产损失；</w:t>
      </w:r>
    </w:p>
    <w:p w14:paraId="6411E28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（4）由于发包人原因造成的发包人自身人员的人身伤害以及财产损失。</w:t>
      </w:r>
    </w:p>
    <w:p w14:paraId="7FA1B87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6.1.9.2 承包人的安全责任</w:t>
      </w:r>
    </w:p>
    <w:p w14:paraId="5127610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由于承包人原因在施工场地内及其毗邻地带造成的发包人、监理人以及第三者人员伤亡和财产损失，由承包人负责赔偿。</w:t>
      </w:r>
    </w:p>
    <w:p w14:paraId="428A22F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6.2 职业健康</w:t>
      </w:r>
    </w:p>
    <w:p w14:paraId="7CBA9C6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6.2.1 劳动保护</w:t>
      </w:r>
    </w:p>
    <w:p w14:paraId="283F6A4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9986AD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0B91F10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承包人应按法律规定安排工作时间，保证其雇佣人员享有休息和休假的权利。因工程施工的特殊需要占用休假日或延长工作时间的，应不超过法律规定的限度，并按法律规定给予补休或付酬。</w:t>
      </w:r>
    </w:p>
    <w:p w14:paraId="38F09A9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6.2.2 生活条件</w:t>
      </w:r>
    </w:p>
    <w:p w14:paraId="3BDF2F4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17A9219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6.3 环境保护</w:t>
      </w:r>
    </w:p>
    <w:p w14:paraId="476B8A4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D21486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承包人应当承担因其原因引起的环境污染侵权损害赔偿责任，因上述环境污染引起纠纷而导致暂停施工的，由此增加的费用和（或）延误的工期由承包人承担。</w:t>
      </w:r>
    </w:p>
    <w:p w14:paraId="7225A95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 工期和进度</w:t>
      </w:r>
    </w:p>
    <w:p w14:paraId="6DF8039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7.1施工组织设计</w:t>
      </w:r>
    </w:p>
    <w:p w14:paraId="301468A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7.1.1 施工组织设计的内容</w:t>
      </w:r>
    </w:p>
    <w:p w14:paraId="1BC3C4E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施工组织设计应包含以下内容：</w:t>
      </w:r>
    </w:p>
    <w:p w14:paraId="6116A3C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（1）施工方案； </w:t>
      </w:r>
    </w:p>
    <w:p w14:paraId="38A270B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（2）施工现场平面布置图；</w:t>
      </w:r>
    </w:p>
    <w:p w14:paraId="02D3589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（3）施工进度计划和保证措施； </w:t>
      </w:r>
    </w:p>
    <w:p w14:paraId="618650D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（4）劳动力及材料供应计划；</w:t>
      </w:r>
    </w:p>
    <w:p w14:paraId="2291DD5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（5）施工机械设备的选用；</w:t>
      </w:r>
    </w:p>
    <w:p w14:paraId="7EFBDA4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（6）质量保证体系及措施；</w:t>
      </w:r>
    </w:p>
    <w:p w14:paraId="4EF2222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（7）安全生产、文明施工措施；</w:t>
      </w:r>
    </w:p>
    <w:p w14:paraId="042FDE7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（8）环境保护、成本控制措施；</w:t>
      </w:r>
    </w:p>
    <w:p w14:paraId="5A75070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（9）合同当事人约定的其他内容。</w:t>
      </w:r>
    </w:p>
    <w:p w14:paraId="5D91BB5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7.1.2 施工组织设计的提交和修改</w:t>
      </w:r>
    </w:p>
    <w:p w14:paraId="1D94A14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ECB70F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施工进度计划的编制和修改按照第7.2款〔施工进度计划〕执行。</w:t>
      </w:r>
    </w:p>
    <w:p w14:paraId="09EEC05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7.2 施工进度计划</w:t>
      </w:r>
    </w:p>
    <w:p w14:paraId="0053911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7.2.1 施工进度计划的编制</w:t>
      </w:r>
    </w:p>
    <w:p w14:paraId="266BD76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E2162F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7.2.2 施工进度计划的修订</w:t>
      </w:r>
    </w:p>
    <w:p w14:paraId="25AD665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AF6E24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7.3 开工</w:t>
      </w:r>
    </w:p>
    <w:p w14:paraId="4A71F7B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7.3.1 开工准备</w:t>
      </w:r>
    </w:p>
    <w:p w14:paraId="195D71D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25CD4A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除专用合同条款另有约定外，合同当事人应按约定完成开工准备工作。</w:t>
      </w:r>
    </w:p>
    <w:p w14:paraId="767E33B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7.3.2 开工通知</w:t>
      </w:r>
    </w:p>
    <w:p w14:paraId="28C8D36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D92C70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8E7B13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7.4测量放线</w:t>
      </w:r>
    </w:p>
    <w:p w14:paraId="72ECE14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4A80B9F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412BE7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DABBD1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施工过程中对施工现场内水准点等测量标志物的保护工作由承包人负责。</w:t>
      </w:r>
    </w:p>
    <w:p w14:paraId="34174C0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7.5 工期延误</w:t>
      </w:r>
    </w:p>
    <w:p w14:paraId="27E2C00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7.5.1 因发包人原因导致工期延误</w:t>
      </w:r>
    </w:p>
    <w:p w14:paraId="30BC41D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在合同履行过程中，因下列情况导致工期延误和（或）费用增加的，由发包人承担由此延误的工期和（或）增加的费用，且发包人应支付承包人合理的利润： </w:t>
      </w:r>
    </w:p>
    <w:p w14:paraId="575B88F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（1）发包人未能按合同约定提供图纸或所提供图纸不符合合同约定的；</w:t>
      </w:r>
    </w:p>
    <w:p w14:paraId="65C6C75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（2）发包人未能按合同约定提供施工现场、施工条件、基础资料、许可、批准等开工条件的；</w:t>
      </w:r>
    </w:p>
    <w:p w14:paraId="055A84D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（3）发包人提供的测量基准点、基准线和水准点及其书面资料存在错误或疏漏的；</w:t>
      </w:r>
    </w:p>
    <w:p w14:paraId="7E5AC11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（4）发包人未能在计划开工日期之日起7天内同意下达开工通知的；</w:t>
      </w:r>
    </w:p>
    <w:p w14:paraId="597953B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（5）发包人未能按合同约定日期支付工程预付款、进度款或竣工结算款的；</w:t>
      </w:r>
    </w:p>
    <w:p w14:paraId="5D3FA9F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（6）监理人未按合同约定发出指示、批准等文件的；</w:t>
      </w:r>
    </w:p>
    <w:p w14:paraId="4CF30AB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（7）专用合同条款中约定的其他情形。</w:t>
      </w:r>
    </w:p>
    <w:p w14:paraId="135B5E2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6988B26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7.5.2 因承包人原因导致工期延误</w:t>
      </w:r>
    </w:p>
    <w:p w14:paraId="361272C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因承包人原因造成工期延误的，可以在专用合同条款中约定逾期竣工违约金的计算方法和逾期竣工违约金的上限。承包人支付逾期竣工违约金后，不免除承包人继续完成工程及修补缺陷的义务。</w:t>
      </w:r>
    </w:p>
    <w:p w14:paraId="651E759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7.6 不利物质条件</w:t>
      </w:r>
    </w:p>
    <w:p w14:paraId="5E93B30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2D8529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9769FE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7.7 异常恶劣的气候条件</w:t>
      </w:r>
    </w:p>
    <w:p w14:paraId="7DBC850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B65F27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0D505C3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7.8 暂停施工</w:t>
      </w:r>
    </w:p>
    <w:p w14:paraId="1AA4589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7.8.1发包人原因引起的暂停施工</w:t>
      </w:r>
    </w:p>
    <w:p w14:paraId="4320E3A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因发包人原因引起暂停施工的，监理人经发包人同意后，应及时下达暂停施工指示。情况紧急且监理人未及时下达暂停施工指示的，按照第7.8.4项〔紧急情况下的暂停施工〕执行。</w:t>
      </w:r>
    </w:p>
    <w:p w14:paraId="29A5D5B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因发包人原因引起的暂停施工，发包人应承担由此增加的费用和（或）延误的工期，并支付承包人合理的利润。</w:t>
      </w:r>
    </w:p>
    <w:p w14:paraId="09B83D3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7.8.2 承包人原因引起的暂停施工</w:t>
      </w:r>
    </w:p>
    <w:p w14:paraId="2747174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F1EC9A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7.8.3 指示暂停施工</w:t>
      </w:r>
    </w:p>
    <w:p w14:paraId="22AC854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监理人认为有必要时，并经发包人批准后，可向承包人作出暂停施工的指示，承包人应按监理人指示暂停施工。</w:t>
      </w:r>
    </w:p>
    <w:p w14:paraId="1236842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7.8.4 紧急情况下的暂停施工</w:t>
      </w:r>
    </w:p>
    <w:p w14:paraId="53322DE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6A6D967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7.8.5 暂停施工后的复工</w:t>
      </w:r>
    </w:p>
    <w:p w14:paraId="6628A89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996AB6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承包人无故拖延和拒绝复工的，承包人承担由此增加的费用和（或）延误的工期；因发包人原因无法按时复工的，按照第7.5.1项〔因发包人原因导致工期延误〕约定办理。</w:t>
      </w:r>
    </w:p>
    <w:p w14:paraId="69071AB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7.8.6 暂停施工持续56天以上</w:t>
      </w:r>
    </w:p>
    <w:p w14:paraId="399C3AD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3DB150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23C540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7.8.7 暂停施工期间的工程照管</w:t>
      </w:r>
    </w:p>
    <w:p w14:paraId="1BFD561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暂停施工期间，承包人应负责妥善照管工程并提供安全保障，由此增加的费用由责任方承担。</w:t>
      </w:r>
    </w:p>
    <w:p w14:paraId="1EE7B91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7.8.8 暂停施工的措施</w:t>
      </w:r>
    </w:p>
    <w:p w14:paraId="4369319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暂停施工期间，发包人和承包人均应采取必要的措施确保工程质量及安全，防止因暂停施工扩大损失。</w:t>
      </w:r>
    </w:p>
    <w:p w14:paraId="619A21D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7.9提前竣工</w:t>
      </w:r>
    </w:p>
    <w:p w14:paraId="11E4F08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3A15B2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7.9.2 发包人要求承包人提前竣工，或承包人提出提前竣工的建议能够给发包人带来效益的，合同当事人可以在专用合同条款中约定提前竣工的奖励。</w:t>
      </w:r>
    </w:p>
    <w:p w14:paraId="41F4520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 材料与设备</w:t>
      </w:r>
    </w:p>
    <w:p w14:paraId="34981DD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8.1发包人供应材料与工程设备</w:t>
      </w:r>
    </w:p>
    <w:p w14:paraId="2ACE482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发包人自行供应材料、工程设备的，应在签订合同时在专用合同条款的附件《发包人供应材料设备一览表》中明确材料、工程设备的品种、规格、型号、数量、单价、质量等级和送达地点。</w:t>
      </w:r>
    </w:p>
    <w:p w14:paraId="56A23B7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A76CC7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8.2承包人采购材料与工程设备</w:t>
      </w:r>
    </w:p>
    <w:p w14:paraId="1069C77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29A2DF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8.3材料与工程设备的接收与拒收</w:t>
      </w:r>
    </w:p>
    <w:p w14:paraId="6BEE689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68B718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发包人提供的材料和工程设备的规格、数量或质量不符合合同约定的，或因发包人原因导致交货日期延误或交货地点变更等情况的，按照第16.1款〔发包人违约〕约定办理。</w:t>
      </w:r>
    </w:p>
    <w:p w14:paraId="34EB3F7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02193D3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A697AC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8.4材料与工程设备的保管与使用</w:t>
      </w:r>
    </w:p>
    <w:p w14:paraId="57E6ADA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8.4.1 发包人供应材料与工程设备的保管与使用</w:t>
      </w:r>
    </w:p>
    <w:p w14:paraId="40C747C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D2B195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发包人供应的材料和工程设备使用前，由承包人负责检验，检验费用由发包人承担，不合格的不得使用。</w:t>
      </w:r>
    </w:p>
    <w:p w14:paraId="020101A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8.4.2 承包人采购材料与工程设备的保管与使用</w:t>
      </w:r>
    </w:p>
    <w:p w14:paraId="11C8AF0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6F5596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发包人或监理人发现承包人使用不符合设计或有关标准要求的材料和工程设备时，有权要求承包人进行修复、拆除或重新采购，由此增加的费用和（或）延误的工期，由承包人承担。</w:t>
      </w:r>
    </w:p>
    <w:p w14:paraId="4D269D2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8.5禁止使用不合格的材料和工程设备</w:t>
      </w:r>
    </w:p>
    <w:p w14:paraId="2FAABA5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8.5.1 监理人有权拒绝承包人提供的不合格材料或工程设备，并要求承包人立即进行更换。监理人应在更换后再次进行检查和检验，由此增加的费用和（或）延误的工期由承包人承担。</w:t>
      </w:r>
    </w:p>
    <w:p w14:paraId="757BA4C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8.5.2 监理人发现承包人使用了不合格的材料和工程设备，承包人应按照监理人的指示立即改正，并禁止在工程中继续使用不合格的材料和工程设备。</w:t>
      </w:r>
    </w:p>
    <w:p w14:paraId="44BF798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8.5.3 发包人提供的材料或工程设备不符合合同要求的，承包人有权拒绝，并可要求发包人更换，由此增加的费用和（或）延误的工期由发包人承担，并支付承包人合理的利润。</w:t>
      </w:r>
    </w:p>
    <w:p w14:paraId="381E8F5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8.6 样品</w:t>
      </w:r>
    </w:p>
    <w:p w14:paraId="625C190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8.6.1</w:t>
      </w:r>
      <w:r>
        <w:rPr>
          <w:rFonts w:hint="eastAsia" w:ascii="宋体" w:hAnsi="宋体" w:cs="宋体"/>
          <w:color w:val="000000" w:themeColor="text1"/>
          <w:kern w:val="0"/>
          <w:sz w:val="24"/>
          <w:highlight w:val="none"/>
          <w14:textFill>
            <w14:solidFill>
              <w14:schemeClr w14:val="tx1"/>
            </w14:solidFill>
          </w14:textFill>
        </w:rPr>
        <w:tab/>
      </w:r>
      <w:r>
        <w:rPr>
          <w:rFonts w:hint="eastAsia" w:ascii="宋体" w:hAnsi="宋体" w:cs="宋体"/>
          <w:color w:val="000000" w:themeColor="text1"/>
          <w:kern w:val="0"/>
          <w:sz w:val="24"/>
          <w:highlight w:val="none"/>
          <w14:textFill>
            <w14:solidFill>
              <w14:schemeClr w14:val="tx1"/>
            </w14:solidFill>
          </w14:textFill>
        </w:rPr>
        <w:t>样品的报送与封存</w:t>
      </w:r>
    </w:p>
    <w:p w14:paraId="56F4F29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需要承包人报送样品的材料或工程设备，样品的种类、名称、规格、数量等要求均应在专用合同条款中约定。样品的报送程序如下：</w:t>
      </w:r>
    </w:p>
    <w:p w14:paraId="656BBE6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F25F13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00E5A2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（3）经发包人和监理人审批确认的样品应按约定的方法封样，封存的样品作为检验工程相关部分的标准之一。承包人在施工过程中不得使用与样品不符的材料或工程设备。</w:t>
      </w:r>
    </w:p>
    <w:p w14:paraId="7B42F86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A0F767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8.6.2 样品的保管</w:t>
      </w:r>
    </w:p>
    <w:p w14:paraId="6A91201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经批准的样品应由监理人负责封存于现场，承包人应在现场为保存样品提供适当和固定的场所并保持适当和良好的存储环境条件。</w:t>
      </w:r>
    </w:p>
    <w:p w14:paraId="17AA069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8.7材料与工程设备的替代</w:t>
      </w:r>
    </w:p>
    <w:p w14:paraId="158B2AD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8.7.1 出现下列情况需要使用替代材料和工程设备的，承包人应按照第8.7.2项约定的程序执行：</w:t>
      </w:r>
    </w:p>
    <w:p w14:paraId="742AFE4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（1）基准日期后生效的法律规定禁止使用的；</w:t>
      </w:r>
    </w:p>
    <w:p w14:paraId="0D16B91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（2）发包人要求使用替代品的；</w:t>
      </w:r>
    </w:p>
    <w:p w14:paraId="4372B59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（3）因其他原因必须使用替代品的。</w:t>
      </w:r>
    </w:p>
    <w:p w14:paraId="6E5EB6A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8.7.2 承包人应在使用替代材料和工程设备28天前书面通知监理人，并附下列文件：</w:t>
      </w:r>
    </w:p>
    <w:p w14:paraId="7F96FE1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（1）被替代的材料和工程设备的名称、数量、规格、型号、品牌、性能、价格及其他相关资料；</w:t>
      </w:r>
    </w:p>
    <w:p w14:paraId="3897D99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（2）替代品的名称、数量、规格、型号、品牌、性能、价格及其他相关资料；</w:t>
      </w:r>
    </w:p>
    <w:p w14:paraId="3D4AA2D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（3）替代品与被替代产品之间的差异以及使用替代品可能对工程产生的影响；</w:t>
      </w:r>
    </w:p>
    <w:p w14:paraId="05F3141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（4）替代品与被替代产品的价格差异；</w:t>
      </w:r>
    </w:p>
    <w:p w14:paraId="5C87705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（5）使用替代品的理由和原因说明；</w:t>
      </w:r>
    </w:p>
    <w:p w14:paraId="2AF2568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（6）监理人要求的其他文件。</w:t>
      </w:r>
    </w:p>
    <w:p w14:paraId="0EB975A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监理人应在收到通知后14天内向承包人发出经发包人签认的书面指示；监理人逾期发出书面指示的，视为发包人和监理人同意使用替代品。</w:t>
      </w:r>
    </w:p>
    <w:p w14:paraId="1E1D428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06D31A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8.8施工设备和临时设施</w:t>
      </w:r>
    </w:p>
    <w:p w14:paraId="1F96B83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8.8.1 承包人提供的施工设备和临时设施</w:t>
      </w:r>
    </w:p>
    <w:p w14:paraId="34F7AF2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承包人应按合同进度计划的要求，及时配置施工设备和修建临时设施。进入施工场地的承包人设备需经监理人核查后才能投入使用。承包人更换合同约定的承包人设备的，应报监理人批准。</w:t>
      </w:r>
    </w:p>
    <w:p w14:paraId="7EC67B7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除专用合同条款另有约定外，承包人应自行承担修建临时设施的费用，需要临时占地的，应由发包人办理申请手续并承担相应费用。</w:t>
      </w:r>
    </w:p>
    <w:p w14:paraId="2E5A8E1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8.8.2发包人提供的施工设备和临时设施</w:t>
      </w:r>
    </w:p>
    <w:p w14:paraId="5C64F9D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发包人提供的施工设备或临时设施在专用合同条款中约定。</w:t>
      </w:r>
    </w:p>
    <w:p w14:paraId="0768AAA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8.8.3要求承包人增加或更换施工设备</w:t>
      </w:r>
    </w:p>
    <w:p w14:paraId="41FC6E0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承包人使用的施工设备不能满足合同进度计划和（或）质量要求时，监理人有权要求承包人增加或更换施工设备，承包人应及时增加或更换，由此增加的费用和（或）延误的工期由承包人承担。</w:t>
      </w:r>
    </w:p>
    <w:p w14:paraId="312E0D1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8.9材料与设备专用要求</w:t>
      </w:r>
    </w:p>
    <w:p w14:paraId="1E592E6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0D60B67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 试验与检验</w:t>
      </w:r>
    </w:p>
    <w:p w14:paraId="6D49934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9.1试验设备与试验人员</w:t>
      </w:r>
    </w:p>
    <w:p w14:paraId="5B922A6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0B597A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9.1.2 承包人应按专用合同条款的约定提供试验设备、取样装置、试验场所和试验条件，并向监理人提交相应进场计划表。</w:t>
      </w:r>
    </w:p>
    <w:p w14:paraId="7A0E6E1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承包人配置的试验设备要符合相应试验规程的要求并经过具有资质的检测单位检测，且在正式使用该试验设备前，需要经过监理人与承包人共同校定。</w:t>
      </w:r>
    </w:p>
    <w:p w14:paraId="47D2063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9.1.3 承包人应向监理人提交试验人员的名单及其岗位、资格等证明资料，试验人员必须能够熟练进行相应的检测试验，承包人对试验人员的试验程序和试验结果的正确性负责。</w:t>
      </w:r>
    </w:p>
    <w:p w14:paraId="6C42188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9.2取样</w:t>
      </w:r>
    </w:p>
    <w:p w14:paraId="539F806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试验属于自检性质的，承包人可以单独取样。试验属于监理人抽检性质的，可由监理人取样，也可由承包人的试验人员在监理人的监督下取样。</w:t>
      </w:r>
    </w:p>
    <w:p w14:paraId="7DB1A1C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9.3材料、工程设备和工程的试验和检验</w:t>
      </w:r>
    </w:p>
    <w:p w14:paraId="66EA7A9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831A78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FC41C9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DC922C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9.4现场工艺试验</w:t>
      </w:r>
    </w:p>
    <w:p w14:paraId="2F9E828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承包人应按合同约定或监理人指示进行现场工艺试验。对大型的现场工艺试验，监理人认为必要时，承包人应根据监理人提出的工艺试验要求，编制工艺试验措施计划，报送监理人审查。</w:t>
      </w:r>
    </w:p>
    <w:p w14:paraId="0316BAA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 变更</w:t>
      </w:r>
    </w:p>
    <w:p w14:paraId="6CCBF15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10.1变更的范围</w:t>
      </w:r>
    </w:p>
    <w:p w14:paraId="1BB3F90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除专用合同条款另有约定外，合同履行过程中发生以下情形的，应按照本条约定进行变更：</w:t>
      </w:r>
    </w:p>
    <w:p w14:paraId="47EFB65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（1）增加或减少合同中任何工作，或追加额外的工作；</w:t>
      </w:r>
    </w:p>
    <w:p w14:paraId="668517A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（2）取消合同中任何工作，但转由他人实施的工作除外；</w:t>
      </w:r>
    </w:p>
    <w:p w14:paraId="7AC5B3C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（3）改变合同中任何工作的质量标准或其他特性；</w:t>
      </w:r>
    </w:p>
    <w:p w14:paraId="2F399F9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（4）改变工程的基线、标高、位置和尺寸；</w:t>
      </w:r>
    </w:p>
    <w:p w14:paraId="7B26F45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（5）改变工程的时间安排或实施顺序。</w:t>
      </w:r>
    </w:p>
    <w:p w14:paraId="488F0A7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10.2变更权</w:t>
      </w:r>
    </w:p>
    <w:p w14:paraId="25AA06F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D1A87C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涉及设计变更的，应由设计人提供变更后的图纸和说明。如变更超过原设计标准或批准的建设规模时，发包人应及时办理规划、设计变更等审批手续。</w:t>
      </w:r>
    </w:p>
    <w:p w14:paraId="1D5BF5C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10.3变更程序</w:t>
      </w:r>
    </w:p>
    <w:p w14:paraId="1B3F3ED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10.3.1 发包人提出变更</w:t>
      </w:r>
    </w:p>
    <w:p w14:paraId="1151390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发包人提出变更的，应通过监理人向承包人发出变更指示，变更指示应说明计划变更的工程范围和变更的内容。</w:t>
      </w:r>
    </w:p>
    <w:p w14:paraId="5799082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10.3.2 监理人提出变更建议</w:t>
      </w:r>
    </w:p>
    <w:p w14:paraId="59CAEF4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14ECB60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10.3.3 变更执行</w:t>
      </w:r>
    </w:p>
    <w:p w14:paraId="67017DC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B54A09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10.4变更估价</w:t>
      </w:r>
    </w:p>
    <w:p w14:paraId="115E1EF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10.4.1 变更估价原则</w:t>
      </w:r>
    </w:p>
    <w:p w14:paraId="1D9C0F4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除专用合同条款另有约定外，变更估价按照本款约定处理：</w:t>
      </w:r>
    </w:p>
    <w:p w14:paraId="2FD800A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（1）已标价工程量清单或预算书有相同项目的，按照相同项目单价认定；</w:t>
      </w:r>
    </w:p>
    <w:p w14:paraId="252ED77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（2）已标价工程量清单或预算书中无相同项目，但有类似项目的，参照类似项目的单价认定；</w:t>
      </w:r>
    </w:p>
    <w:p w14:paraId="359FFBB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9D0477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10.4.2 变更估价程序</w:t>
      </w:r>
    </w:p>
    <w:p w14:paraId="35CC6DD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6B76ED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因变更引起的价格调整应计入最近一期的进度款中支付。</w:t>
      </w:r>
    </w:p>
    <w:p w14:paraId="608CFDC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10.5承包人的合理化建议</w:t>
      </w:r>
    </w:p>
    <w:p w14:paraId="0672A28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承包人提出合理化建议的，应向监理人提交合理化建议说明，说明建议的内容和理由，以及实施该建议对合同价格和工期的影响。</w:t>
      </w:r>
    </w:p>
    <w:p w14:paraId="734375E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DA28E0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合理化建议降低了合同价格或者提高了工程经济效益的，发包人可对承包人给予奖励，奖励的方法和金额在专用合同条款中约定。</w:t>
      </w:r>
    </w:p>
    <w:p w14:paraId="4FE107F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10.6变更引起的工期调整   </w:t>
      </w:r>
    </w:p>
    <w:p w14:paraId="6529D1E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因变更引起工期变化的，合同当事人均可要求调整合同工期，由合同当事人按照第4.4款〔商定或确定〕并参考工程所在地的工期定额标准确定增减工期天数。</w:t>
      </w:r>
    </w:p>
    <w:p w14:paraId="355A87A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10.7暂估价</w:t>
      </w:r>
    </w:p>
    <w:p w14:paraId="65EC986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暂估价专业分包工程、服务、材料和工程设备的明细由合同当事人在专用合同条款中约定。</w:t>
      </w:r>
    </w:p>
    <w:p w14:paraId="4F3913C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10.7.1 依法必须招标的暂估价项目</w:t>
      </w:r>
    </w:p>
    <w:p w14:paraId="1E0AB46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对于依法必须招标的暂估价项目，采取以下第1种方式确定。合同当事人也可以在专用合同条款中选择其他招标方式。</w:t>
      </w:r>
    </w:p>
    <w:p w14:paraId="14C0CAB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第1种方式：对于依法必须招标的暂估价项目，由承包人招标，对该暂估价项目的确认和批准按照以下约定执行：</w:t>
      </w:r>
    </w:p>
    <w:p w14:paraId="5027871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DF1913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B472FB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2A72C23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0DD635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10.7.2不属于依法必须招标的暂估价项目</w:t>
      </w:r>
    </w:p>
    <w:p w14:paraId="1565BEC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除专用合同条款另有约定外，对于不属于依法必须招标的暂估价项目，采取以下第1种方式确定： </w:t>
      </w:r>
    </w:p>
    <w:p w14:paraId="6D63C44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第1种方式：对于不属于依法必须招标的暂估价项目，按本项约定确认和批准：</w:t>
      </w:r>
    </w:p>
    <w:p w14:paraId="1AB267A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5FFDF2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（2）发包人认为承包人确定的供应商、分包人无法满足工程质量或合同要求的，发包人可以要求承包人重新确定暂估价项目的供应商、分包人;</w:t>
      </w:r>
    </w:p>
    <w:p w14:paraId="181633B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（3）承包人应当在签订暂估价合同后7天内，将暂估价合同副本报送发包人留存。</w:t>
      </w:r>
    </w:p>
    <w:p w14:paraId="49CBB18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第2种方式：承包人按照第10.7.1项〔依法必须招标的暂估价项目〕约定的第1种方式确定暂估价项目。</w:t>
      </w:r>
    </w:p>
    <w:p w14:paraId="2F1BC01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第3种方式：承包人直接实施的暂估价项目</w:t>
      </w:r>
    </w:p>
    <w:p w14:paraId="2232224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承包人具备实施暂估价项目的资格和条件的，经发包人和承包人协商一致后，可由承包人自行实施暂估价项目，合同当事人可以在专用合同条款约定具体事项。</w:t>
      </w:r>
    </w:p>
    <w:p w14:paraId="0D4D789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65A51B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10.8暂列金额</w:t>
      </w:r>
    </w:p>
    <w:p w14:paraId="5A0BCF4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暂列金额应按照发包人的要求使用，发包人的要求应通过监理人发出。合同当事人可以在专用合同条款中协商确定有关事项。</w:t>
      </w:r>
    </w:p>
    <w:p w14:paraId="22F223F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10.9计日工 </w:t>
      </w:r>
    </w:p>
    <w:p w14:paraId="14A1E0B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3F69E61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采用计日工计价的任何一项工作，承包人应在该项工作实施过程中，每天提交以下报表和有关凭证报送监理人审查：</w:t>
      </w:r>
    </w:p>
    <w:p w14:paraId="57C7AC4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（1）工作名称、内容和数量；</w:t>
      </w:r>
    </w:p>
    <w:p w14:paraId="48F2B15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（2）投入该工作的所有人员的姓名、专业、工种、级别和耗用工时；</w:t>
      </w:r>
    </w:p>
    <w:p w14:paraId="6FEDBF5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（3）投入该工作的材料类别和数量；</w:t>
      </w:r>
    </w:p>
    <w:p w14:paraId="6E3BBE6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（4）投入该工作的施工设备型号、台数和耗用台时；</w:t>
      </w:r>
    </w:p>
    <w:p w14:paraId="035D2D3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（5）其他有关资料和凭证。</w:t>
      </w:r>
    </w:p>
    <w:p w14:paraId="21ADCAE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计日工由承包人汇总后，列入最近一期进度付款申请单，由监理人审查并经发包人批准后列入进度付款。</w:t>
      </w:r>
    </w:p>
    <w:p w14:paraId="6C42A11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 价格调整</w:t>
      </w:r>
    </w:p>
    <w:p w14:paraId="6855A11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11.1市场价格波动引起的调整</w:t>
      </w:r>
    </w:p>
    <w:p w14:paraId="596DC36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除专用合同条款另有约定外，市场价格波动超过合同当事人约定的范围，合同价格应当调整。合同当事人可以在专用合同条款中约定选择以下一种方式对合同价格进行调整：</w:t>
      </w:r>
    </w:p>
    <w:p w14:paraId="0A6AC1A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第1种方式：采用价格指数进行价格调整。</w:t>
      </w:r>
    </w:p>
    <w:p w14:paraId="6F9A7AF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（1）价格调整公式</w:t>
      </w:r>
    </w:p>
    <w:p w14:paraId="1A65656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因人工、材料和设备等价格波动影响合同价格时，根据专用合同条款中约定的数据，按以下公式计算差额并调整合同价格：</w:t>
      </w:r>
    </w:p>
    <w:p w14:paraId="6E32AA6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position w:val="-30"/>
          <w:sz w:val="24"/>
          <w:highlight w:val="none"/>
          <w14:textFill>
            <w14:solidFill>
              <w14:schemeClr w14:val="tx1"/>
            </w14:solidFill>
          </w14:textFill>
        </w:rPr>
        <w:object>
          <v:shape id="_x0000_i1025" o:spt="75" type="#_x0000_t75" style="height:44.25pt;width:360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p w14:paraId="559A544C">
      <w:pPr>
        <w:tabs>
          <w:tab w:val="left" w:pos="0"/>
          <w:tab w:val="left" w:pos="360"/>
          <w:tab w:val="left" w:pos="540"/>
        </w:tabs>
        <w:spacing w:line="360" w:lineRule="auto"/>
        <w:ind w:firstLine="64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公式中：ΔP——需调整的价格差额；</w:t>
      </w:r>
    </w:p>
    <w:p w14:paraId="2A42224B">
      <w:pPr>
        <w:tabs>
          <w:tab w:val="left" w:pos="0"/>
          <w:tab w:val="left" w:pos="360"/>
          <w:tab w:val="left" w:pos="540"/>
        </w:tabs>
        <w:spacing w:line="360" w:lineRule="auto"/>
        <w:ind w:firstLine="1440" w:firstLineChars="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position w:val="-6"/>
          <w:sz w:val="24"/>
          <w:highlight w:val="none"/>
          <w14:textFill>
            <w14:solidFill>
              <w14:schemeClr w14:val="tx1"/>
            </w14:solidFill>
          </w14:textFill>
        </w:rPr>
        <w:object>
          <v:shape id="_x0000_i1026" o:spt="75" type="#_x0000_t75" style="height:18.75pt;width:18.7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ascii="宋体" w:hAnsi="宋体" w:cs="宋体"/>
          <w:color w:val="000000" w:themeColor="text1"/>
          <w:sz w:val="24"/>
          <w:highlight w:val="none"/>
          <w14:textFill>
            <w14:solidFill>
              <w14:schemeClr w14:val="tx1"/>
            </w14:solidFill>
          </w14:textFill>
        </w:rPr>
        <w:t>——约定的付款证书中承包人应得到的已完成工程量的金额。此项金额应不包括价格调整、不计质量保证金的扣留和支付、预付款的支付和扣回。约定的变更及其他金额已按现行价格计价的，也不计在内；</w:t>
      </w:r>
    </w:p>
    <w:p w14:paraId="633DB13D">
      <w:pPr>
        <w:tabs>
          <w:tab w:val="left" w:pos="0"/>
          <w:tab w:val="left" w:pos="360"/>
          <w:tab w:val="left" w:pos="54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A——定值权重（即不调部分的权重）；</w:t>
      </w:r>
    </w:p>
    <w:p w14:paraId="0A335A63">
      <w:pPr>
        <w:tabs>
          <w:tab w:val="left" w:pos="0"/>
          <w:tab w:val="left" w:pos="360"/>
          <w:tab w:val="left" w:pos="54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position w:val="-10"/>
          <w:sz w:val="24"/>
          <w:highlight w:val="none"/>
          <w14:textFill>
            <w14:solidFill>
              <w14:schemeClr w14:val="tx1"/>
            </w14:solidFill>
          </w14:textFill>
        </w:rPr>
        <w:object>
          <v:shape id="_x0000_i1027" o:spt="75" type="#_x0000_t75" style="height:21.75pt;width:101.2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eastAsia" w:ascii="宋体" w:hAnsi="宋体" w:cs="宋体"/>
          <w:color w:val="000000" w:themeColor="text1"/>
          <w:sz w:val="24"/>
          <w:highlight w:val="none"/>
          <w14:textFill>
            <w14:solidFill>
              <w14:schemeClr w14:val="tx1"/>
            </w14:solidFill>
          </w14:textFill>
        </w:rPr>
        <w:t>——各可调因子的变值权重（即可调部分的权重），为各可调因子在签约合同价中所占的比例；</w:t>
      </w:r>
    </w:p>
    <w:p w14:paraId="4EBF95A2">
      <w:pPr>
        <w:tabs>
          <w:tab w:val="left" w:pos="0"/>
          <w:tab w:val="left" w:pos="360"/>
          <w:tab w:val="left" w:pos="54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position w:val="-10"/>
          <w:sz w:val="24"/>
          <w:highlight w:val="none"/>
          <w14:textFill>
            <w14:solidFill>
              <w14:schemeClr w14:val="tx1"/>
            </w14:solidFill>
          </w14:textFill>
        </w:rPr>
        <w:object>
          <v:shape id="_x0000_i1028" o:spt="75" type="#_x0000_t75" style="height:20.25pt;width:102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ascii="宋体" w:hAnsi="宋体" w:cs="宋体"/>
          <w:color w:val="000000" w:themeColor="text1"/>
          <w:sz w:val="24"/>
          <w:highlight w:val="none"/>
          <w14:textFill>
            <w14:solidFill>
              <w14:schemeClr w14:val="tx1"/>
            </w14:solidFill>
          </w14:textFill>
        </w:rPr>
        <w:t>——各可调因子的现行价格指数，指约定的付款证书相关周期最后一天的前42天的各可调因子的价格指数；</w:t>
      </w:r>
    </w:p>
    <w:p w14:paraId="66BAC7BB">
      <w:pPr>
        <w:tabs>
          <w:tab w:val="left" w:pos="0"/>
          <w:tab w:val="left" w:pos="360"/>
          <w:tab w:val="left" w:pos="54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position w:val="-10"/>
          <w:sz w:val="24"/>
          <w:highlight w:val="none"/>
          <w14:textFill>
            <w14:solidFill>
              <w14:schemeClr w14:val="tx1"/>
            </w14:solidFill>
          </w14:textFill>
        </w:rPr>
        <w:object>
          <v:shape id="_x0000_i1029" o:spt="75" type="#_x0000_t75" style="height:20.25pt;width:108.7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ascii="宋体" w:hAnsi="宋体" w:cs="宋体"/>
          <w:color w:val="000000" w:themeColor="text1"/>
          <w:sz w:val="24"/>
          <w:highlight w:val="none"/>
          <w14:textFill>
            <w14:solidFill>
              <w14:schemeClr w14:val="tx1"/>
            </w14:solidFill>
          </w14:textFill>
        </w:rPr>
        <w:t>——各可调因子的基本价格指数，指基准日期的各可调因子的价格指数。</w:t>
      </w:r>
    </w:p>
    <w:p w14:paraId="2889172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26285B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（2）暂时确定调整差额</w:t>
      </w:r>
    </w:p>
    <w:p w14:paraId="792437E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在计算调整差额时无现行价格指数的，合同当事人同意暂用前次价格指数计算。实际价格指数有调整的，合同当事人进行相应调整。</w:t>
      </w:r>
    </w:p>
    <w:p w14:paraId="02B0BCD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（3）权重的调整</w:t>
      </w:r>
    </w:p>
    <w:p w14:paraId="64AB8DE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因变更导致合同约定的权重不合理时，按照第4.4款〔商定或确定〕执行。</w:t>
      </w:r>
    </w:p>
    <w:p w14:paraId="2596FA1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（4）因承包人原因工期延误后的价格调整</w:t>
      </w:r>
    </w:p>
    <w:p w14:paraId="4A859E7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因承包人原因未按期竣工的，对合同约定的竣工日期后继续施工的工程，在使用价格调整公式时，应采用计划竣工日期与实际竣工日期的两个价格指数中较低的一个作为现行价格指数。</w:t>
      </w:r>
    </w:p>
    <w:p w14:paraId="6FB614D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第2种方式：采用造价信息进行价格调整。</w:t>
      </w:r>
    </w:p>
    <w:p w14:paraId="16BB987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3577886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1B1323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（2）材料、工程设备价格变化的价款调整按照发包人提供的基准价格，按以下风险范围规定执行:</w:t>
      </w:r>
    </w:p>
    <w:p w14:paraId="750E2A6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4AB40F0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82B70E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③承包人在已标价工程量清单或预算书中载明材料单价等于基准价格的：除专用合同条款另有约定外，合同履行期间材料单价涨跌幅以基准价格为基础超过±5%时，其超过部分据实调整。</w:t>
      </w:r>
    </w:p>
    <w:p w14:paraId="58897C6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35676C0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前述基准价格是指由发包人在招标文件或专用合同条款中给定的材料、工程设备的价格，该价格原则上应当按照省级或行业建设主管部门或其授权的工程造价管理机构发布的信息价编制。</w:t>
      </w:r>
    </w:p>
    <w:p w14:paraId="1F5879D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（3）施工机械台班单价或施工机械使用费发生变化超过省级或行业建设主管部门或其授权的工程造价管理机构规定的范围时，按规定调整合同价格。</w:t>
      </w:r>
    </w:p>
    <w:p w14:paraId="3953C72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第3种方式：专用合同条款约定的其他方式。</w:t>
      </w:r>
    </w:p>
    <w:p w14:paraId="2F017C2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11.2法律变化引起的调整</w:t>
      </w:r>
    </w:p>
    <w:p w14:paraId="045E7F0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1AF8D2C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因法律变化引起的合同价格和工期调整，合同当事人无法达成一致的，由总监理工程师按第4.4款〔商定或确定〕的约定处理。</w:t>
      </w:r>
    </w:p>
    <w:p w14:paraId="4DF0C37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因承包人原因造成工期延误，在工期延误期间出现法律变化的，由此增加的费用和（或）延误的工期由承包人承担。</w:t>
      </w:r>
    </w:p>
    <w:p w14:paraId="6C31FED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 合同价格、计量与支付</w:t>
      </w:r>
    </w:p>
    <w:p w14:paraId="759F0CB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12.1 合同价格形式</w:t>
      </w:r>
    </w:p>
    <w:p w14:paraId="39F51E0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发包人和承包人应在合同协议书中选择下列一种合同价格形式： </w:t>
      </w:r>
    </w:p>
    <w:p w14:paraId="6D4C9AC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1.单价合同</w:t>
      </w:r>
    </w:p>
    <w:p w14:paraId="3086A78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3D36D37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2.总价合同</w:t>
      </w:r>
    </w:p>
    <w:p w14:paraId="3281A3D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010271B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3.其它价格形式</w:t>
      </w:r>
    </w:p>
    <w:p w14:paraId="5C646F3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合同当事人可在专用合同条款中约定其他合同价格形式。</w:t>
      </w:r>
    </w:p>
    <w:p w14:paraId="46ABF61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12.2预付款</w:t>
      </w:r>
    </w:p>
    <w:p w14:paraId="168FF33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12.2.1预付款的支付</w:t>
      </w:r>
    </w:p>
    <w:p w14:paraId="4B1845F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预付款的支付按照专用合同条款约定执行，但至迟应在开工通知载明的开工日期7天前支付。预付款应当用于材料、工程设备、施工设备的采购及修建临时工程、组织施工队伍进场等。</w:t>
      </w:r>
    </w:p>
    <w:p w14:paraId="133C0F5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除专用合同条款另有约定外，预付款在进度付款中同比例扣回。在颁发工程接收证书前，提前解除合同的，尚未扣完的预付款应与合同价款一并结算。</w:t>
      </w:r>
    </w:p>
    <w:p w14:paraId="2EAF756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发包人逾期支付预付款超过7天的，承包人有权向发包人发出要求预付的催告通知，发包人收到通知后7天内仍未支付的，承包人有权暂停施工，并按第16.1.1项〔发包人违约的情形〕执行。</w:t>
      </w:r>
    </w:p>
    <w:p w14:paraId="07315E0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12.2.2 预付款担保</w:t>
      </w:r>
    </w:p>
    <w:p w14:paraId="281A286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13C980D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发包人在工程款中逐期扣回预付款后，预付款担保额度应相应减少，但剩余的预付款担保金额不得低于未被扣回的预付款金额。</w:t>
      </w:r>
    </w:p>
    <w:p w14:paraId="4610942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12.3计量</w:t>
      </w:r>
    </w:p>
    <w:p w14:paraId="7DE3726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12.3.1 计量原则</w:t>
      </w:r>
    </w:p>
    <w:p w14:paraId="18951FF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工程量计量按照合同约定的工程量计算规则、图纸及变更指示等进行计量。工程量计算规则应以相关的国家标准、行业标准等为依据，由合同当事人在专用合同条款中约定。</w:t>
      </w:r>
    </w:p>
    <w:p w14:paraId="062D73F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12.3.2 计量周期</w:t>
      </w:r>
    </w:p>
    <w:p w14:paraId="2917323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除专用合同条款另有约定外，工程量的计量按月进行。</w:t>
      </w:r>
    </w:p>
    <w:p w14:paraId="1C45BF9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12.3.3 单价合同的计量</w:t>
      </w:r>
    </w:p>
    <w:p w14:paraId="195A3AD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除专用合同条款另有约定外，单价合同的计量按照本项约定执行：</w:t>
      </w:r>
    </w:p>
    <w:p w14:paraId="373A364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（1）承包人应于每月25日向监理人报送上月20日至当月19日已完成的工程量报告，并附具进度付款申请单、已完成工程量报表和有关资料。</w:t>
      </w:r>
    </w:p>
    <w:p w14:paraId="36A50CD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9B6EDE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（3）监理人未在收到承包人提交的工程量报表后的7天内完成审核的，承包人报送的工程量报告中的工程量视为承包人实际完成的工程量，据此计算工程价款。</w:t>
      </w:r>
    </w:p>
    <w:p w14:paraId="38F49D6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12.3.4 总价合同的计量</w:t>
      </w:r>
    </w:p>
    <w:p w14:paraId="2C8A7CE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除专用合同条款另有约定外，按月计量支付的总价合同，按照本项约定执行：</w:t>
      </w:r>
    </w:p>
    <w:p w14:paraId="025385F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（1）承包人应于每月25日向监理人报送上月20日至当月19日已完成的工程量报告，并附具进度付款申请单、已完成工程量报表和有关资料。</w:t>
      </w:r>
    </w:p>
    <w:p w14:paraId="46FFABE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32401F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（3）监理人未在收到承包人提交的工程量报表后的7天内完成复核的，承包人提交的工程量报告中的工程量视为承包人实际完成的工程量。</w:t>
      </w:r>
    </w:p>
    <w:p w14:paraId="182BFA6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12.3.5 总价合同采用支付分解表计量支付的，可以按照第12.3.4项〔总价合同的计量〕约定进行计量，但合同价款按照支付分解表进行支付。</w:t>
      </w:r>
    </w:p>
    <w:p w14:paraId="0F398B5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12.3.6 其他价格形式合同的计量</w:t>
      </w:r>
    </w:p>
    <w:p w14:paraId="60A4E54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合同当事人可在专用合同条款中约定其他价格形式合同的计量方式和程序。</w:t>
      </w:r>
    </w:p>
    <w:p w14:paraId="677AC91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12.4工程进度款支付</w:t>
      </w:r>
    </w:p>
    <w:p w14:paraId="2C645C0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12.4.1 付款周期</w:t>
      </w:r>
    </w:p>
    <w:p w14:paraId="3ACBA82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除专用合同条款另有约定外，付款周期应按照第12.3.2项〔计量周期〕的约定与计量周期保持一致。</w:t>
      </w:r>
    </w:p>
    <w:p w14:paraId="2757807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12.4.2 进度付款申请单的编制</w:t>
      </w:r>
    </w:p>
    <w:p w14:paraId="728E523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除专用合同条款另有约定外，进度付款申请单应包括下列内容：</w:t>
      </w:r>
    </w:p>
    <w:p w14:paraId="1A3D804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（1）截至本次付款周期已完成工作对应的金额；</w:t>
      </w:r>
    </w:p>
    <w:p w14:paraId="326669E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（2）根据第10条〔变更〕应增加和扣减的变更金额；</w:t>
      </w:r>
    </w:p>
    <w:p w14:paraId="0205554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（3）根据第12.2款〔预付款〕约定应支付的预付款和扣减的返还预付款；</w:t>
      </w:r>
    </w:p>
    <w:p w14:paraId="0D9BF48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（4）根据第15.3款〔质量保证金〕约定应扣减的质量保证金；</w:t>
      </w:r>
    </w:p>
    <w:p w14:paraId="4789447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（5）根据第19条〔索赔〕应增加和扣减的索赔金额；</w:t>
      </w:r>
    </w:p>
    <w:p w14:paraId="3B3FBE8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（6）对已签发的进度款支付证书中出现错误的修正，应在本次进度付款中支付或扣除的金额；</w:t>
      </w:r>
    </w:p>
    <w:p w14:paraId="4B25C10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（7）根据合同约定应增加和扣减的其他金额。</w:t>
      </w:r>
    </w:p>
    <w:p w14:paraId="12F78A3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12.4.3 进度付款申请单的提交</w:t>
      </w:r>
    </w:p>
    <w:p w14:paraId="57E64FB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（1）单价合同进度付款申请单的提交</w:t>
      </w:r>
    </w:p>
    <w:p w14:paraId="5108385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624BF9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（2）总价合同进度付款申请单的提交</w:t>
      </w:r>
    </w:p>
    <w:p w14:paraId="73E9419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总价合同按月计量支付的，承包人按照第12.3.4项〔总价合同的计量〕约定的时间按月向监理人提交进度付款申请单，并附上已完成工程量报表和有关资料。</w:t>
      </w:r>
    </w:p>
    <w:p w14:paraId="2604BA2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总价合同按支付分解表支付的，承包人应按照第12.4.6项〔支付分解表〕及第12.4.2项〔进度付款申请单的编制〕的约定向监理人提交进度付款申请单。</w:t>
      </w:r>
    </w:p>
    <w:p w14:paraId="6CDCB5A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（3）其他价格形式合同的进度付款申请单的提交</w:t>
      </w:r>
    </w:p>
    <w:p w14:paraId="275D15B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合同当事人可在专用合同条款中约定其他价格形式合同的进度付款申请单的编制和提交程序。</w:t>
      </w:r>
    </w:p>
    <w:p w14:paraId="5434595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12.4.4 进度款审核和支付</w:t>
      </w:r>
    </w:p>
    <w:p w14:paraId="4C4893F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27B42FE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1FE356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（2）除专用合同条款另有约定外，发包人应在进度款支付证书或临时进度款支付证书签发后14天内完成支付，发包人逾期支付进度款的，应按照中国人民银行发布的同期同类贷款基准利率支付违约金。</w:t>
      </w:r>
    </w:p>
    <w:p w14:paraId="2C943A6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（3）发包人签发进度款支付证书或临时进度款支付证书，不表明发包人已同意、批准或接受了承包人完成的相应部分的工作。</w:t>
      </w:r>
    </w:p>
    <w:p w14:paraId="74B8313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12.4.5 进度付款的修正</w:t>
      </w:r>
    </w:p>
    <w:p w14:paraId="4302D5D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在对已签发的进度款支付证书进行阶段汇总和复核中发现错误、遗漏或重复的，发包人和承包人均有权提出修正申请。经发包人和承包人同意的修正，应在下期进度付款中支付或扣除。</w:t>
      </w:r>
    </w:p>
    <w:p w14:paraId="22AE870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12.4.6 支付分解表</w:t>
      </w:r>
    </w:p>
    <w:p w14:paraId="5D242F6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1.支付分解表的编制要求</w:t>
      </w:r>
    </w:p>
    <w:p w14:paraId="5D686A4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（1）支付分解表中所列的每期付款金额，应为第12.4.2项〔进度付款申请单的编制〕第（1）目的估算金额；</w:t>
      </w:r>
    </w:p>
    <w:p w14:paraId="75BD243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（2）实际进度与施工进度计划不一致的，合同当事人可按照第4.4款〔商定或确定〕修改支付分解表；</w:t>
      </w:r>
    </w:p>
    <w:p w14:paraId="659B61B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（3）不采用支付分解表的，承包人应向发包人和监理人提交按季度编制的支付估算分解表，用于支付参考。</w:t>
      </w:r>
    </w:p>
    <w:p w14:paraId="1F21D60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2.总价合同支付分解表的编制与审批</w:t>
      </w:r>
    </w:p>
    <w:p w14:paraId="5F538DF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7A79910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（2）监理人应在收到支付分解表后7天内完成审核并报送发包人。发包人应在收到经监理人审核的支付分解表后7天内完成审批，经发包人批准的支付分解表为有约束力的支付分解表。</w:t>
      </w:r>
    </w:p>
    <w:p w14:paraId="14DEC02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（3）发包人逾期未完成支付分解表审批的，也未及时要求承包人进行修正和提供补充资料的，则承包人提交的支付分解表视为已经获得发包人批准。</w:t>
      </w:r>
    </w:p>
    <w:p w14:paraId="0F276EC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3.单价合同的总价项目支付分解表的编制与审批</w:t>
      </w:r>
    </w:p>
    <w:p w14:paraId="23B7FF7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294DE5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12.5支付账户</w:t>
      </w:r>
    </w:p>
    <w:p w14:paraId="24D2815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发包人应将合同价款支付至合同协议书中约定的承包人账户。</w:t>
      </w:r>
    </w:p>
    <w:p w14:paraId="20711A8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 验收和工程试车</w:t>
      </w:r>
    </w:p>
    <w:p w14:paraId="7E94C49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13.1分部分项工程验收</w:t>
      </w:r>
    </w:p>
    <w:p w14:paraId="3559CD0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13.1.1 分部分项工程质量应符合国家有关工程施工验收规范、标准及合同约定，承包人应按照施工组织设计的要求完成分部分项工程施工。</w:t>
      </w:r>
    </w:p>
    <w:p w14:paraId="23C1DBD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0CB43D5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分部分项工程的验收资料应当作为竣工资料的组成部分。</w:t>
      </w:r>
    </w:p>
    <w:p w14:paraId="77FF443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13.2竣工验收</w:t>
      </w:r>
    </w:p>
    <w:p w14:paraId="69CB66E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13.2.1竣工验收条件</w:t>
      </w:r>
    </w:p>
    <w:p w14:paraId="5760F79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工程具备以下条件的，承包人可以申请竣工验收：</w:t>
      </w:r>
    </w:p>
    <w:p w14:paraId="71DB936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（1）除发包人同意的甩项工作和缺陷修补工作外，合同范围内的全部工程以及有关工作，包括合同要求的试验、试运行以及检验均已完成，并符合合同要求；</w:t>
      </w:r>
    </w:p>
    <w:p w14:paraId="56D2CA4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（2）已按合同约定编制了甩项工作和缺陷修补工作清单以及相应的施工计划；</w:t>
      </w:r>
    </w:p>
    <w:p w14:paraId="5194891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（3）已按合同约定的内容和份数备齐竣工资料。</w:t>
      </w:r>
    </w:p>
    <w:p w14:paraId="4291653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13.2.2竣工验收程序</w:t>
      </w:r>
    </w:p>
    <w:p w14:paraId="35E3B64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除专用合同条款另有约定外，承包人申请竣工验收的，应当按照以下程序进行：</w:t>
      </w:r>
    </w:p>
    <w:p w14:paraId="6B965F0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85F2DE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41D3B0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（3）竣工验收合格的，发包人应在验收合格后14天内向承包人签发工程接收证书。发包人无正当理由逾期不颁发工程接收证书的，自验收合格后第15天起视为已颁发工程接收证书。</w:t>
      </w:r>
    </w:p>
    <w:p w14:paraId="22C2261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98728B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1B7C896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除专用合同条款另有约定外，发包人不按照本项约定组织竣工验收、颁发工程接收证书的，每逾期一天，应以签约合同价为基数，按照中国人民银行发布的同期同类贷款基准利率支付违约金。</w:t>
      </w:r>
    </w:p>
    <w:p w14:paraId="1337798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13.2.3竣工日期</w:t>
      </w:r>
    </w:p>
    <w:p w14:paraId="2154B85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3000412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13.2.4 拒绝接收全部或部分工程</w:t>
      </w:r>
    </w:p>
    <w:p w14:paraId="7B011BB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3665D7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13.2.5 移交、接收全部与部分工程</w:t>
      </w:r>
    </w:p>
    <w:p w14:paraId="55249B5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除专用合同条款另有约定外，合同当事人应当在颁发工程接收证书后7天内完成工程的移交。</w:t>
      </w:r>
    </w:p>
    <w:p w14:paraId="6FD1A07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发包人无正当理由不接收工程的，发包人自应当接收工程之日起，承担工程照管、成品保护、保管等与工程有关的各项费用，合同当事人可以在专用合同条款中另行约定发包人逾期接收工程的违约责任。</w:t>
      </w:r>
    </w:p>
    <w:p w14:paraId="0451835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承包人无正当理由不移交工程的，承包人应承担工程照管、成品保护、保管等与工程有关的各项费用，合同当事人可以在专用合同条款中另行约定承包人无正当理由不移交工程的违约责任。</w:t>
      </w:r>
    </w:p>
    <w:p w14:paraId="417CC67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13.3工程试车</w:t>
      </w:r>
    </w:p>
    <w:p w14:paraId="01B7B7E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13.3.1试车程序</w:t>
      </w:r>
    </w:p>
    <w:p w14:paraId="37B331D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工程需要试车的，除专用合同条款另有约定外，试车内容应与承包人承包范围相一致，试车费用由承包人承担。工程试车应按如下程序进行：</w:t>
      </w:r>
    </w:p>
    <w:p w14:paraId="021BF59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9DA11B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4EA4BED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1EE611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13.3.2 试车中的责任</w:t>
      </w:r>
    </w:p>
    <w:p w14:paraId="48CAD19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965B34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3CD7AD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13.3.3 投料试车</w:t>
      </w:r>
    </w:p>
    <w:p w14:paraId="3A86D8E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如需进行投料试车的，发包人应在工程竣工验收后组织投料试车。发包人要求在工程竣工验收前进行或需要承包人配合时，应征得承包人同意，并在专用合同条款中约定有关事项。</w:t>
      </w:r>
    </w:p>
    <w:p w14:paraId="4BDDD84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5D33196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13.4提前交付单位工程的验收</w:t>
      </w:r>
    </w:p>
    <w:p w14:paraId="4A9B08F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13.4.1 发包人需要在工程竣工前使用单位工程的，或承包人提出提前交付已经竣工的单位工程且经发包人同意的，可进行单位工程验收，验收的程序按照第13.2款〔竣工验收〕的约定进行。</w:t>
      </w:r>
    </w:p>
    <w:p w14:paraId="338DA88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验收合格后，由监理人向承包人出具经发包人签认的单位工程接收证书。已签发单位工程接收证书的单位工程由发包人负责照管。单位工程的验收成果和结论作为整体工程竣工验收申请报告的附件。</w:t>
      </w:r>
    </w:p>
    <w:p w14:paraId="25616DA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13.4.2 发包人要求在工程竣工前交付单位工程，由此导致承包人费用增加和（或）工期延误的，由发包人承担由此增加的费用和（或）延误的工期，并支付承包人合理的利润。</w:t>
      </w:r>
    </w:p>
    <w:p w14:paraId="0984226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13.5 施工期运行</w:t>
      </w:r>
    </w:p>
    <w:p w14:paraId="508262F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728915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13.5.2 在施工期运行中发现工程或工程设备损坏或存在缺陷的，由承包人按第15.2款〔缺陷责任期〕约定进行修复。</w:t>
      </w:r>
    </w:p>
    <w:p w14:paraId="3653514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13.6 竣工退场</w:t>
      </w:r>
    </w:p>
    <w:p w14:paraId="521E1BD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13.6.1 竣工退场</w:t>
      </w:r>
    </w:p>
    <w:p w14:paraId="40FE58B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颁发工程接收证书后，承包人应按以下要求对施工现场进行清理：</w:t>
      </w:r>
    </w:p>
    <w:p w14:paraId="41E1A56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（1）施工现场内残留的垃圾已全部清除出场；</w:t>
      </w:r>
    </w:p>
    <w:p w14:paraId="0B827B1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（2）临时工程已拆除，场地已进行清理、平整或复原；</w:t>
      </w:r>
    </w:p>
    <w:p w14:paraId="7CC7802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（3）按合同约定应撤离的人员、承包人施工设备和剩余的材料，包括废弃的施工设备和材料，已按计划撤离施工现场；</w:t>
      </w:r>
    </w:p>
    <w:p w14:paraId="52481A9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（4）施工现场周边及其附近道路、河道的施工堆积物，已全部清理；</w:t>
      </w:r>
    </w:p>
    <w:p w14:paraId="462139A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（5）施工现场其他场地清理工作已全部完成。</w:t>
      </w:r>
    </w:p>
    <w:p w14:paraId="54250C5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F3FE40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13.6.2 地表还原</w:t>
      </w:r>
    </w:p>
    <w:p w14:paraId="30A74DA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承包人应按发包人要求恢复临时占地及清理场地，承包人未按发包人的要求恢复临时占地，或者场地清理未达到合同约定要求的，发包人有权委托其他人恢复或清理，所发生的费用由承包人承担。</w:t>
      </w:r>
    </w:p>
    <w:p w14:paraId="0C7CCB5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 竣工结算</w:t>
      </w:r>
    </w:p>
    <w:p w14:paraId="16585D7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14.1 竣工结算申请</w:t>
      </w:r>
    </w:p>
    <w:p w14:paraId="520CF4F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73C2C88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除专用合同条款另有约定外，竣工结算申请单应包括以下内容：</w:t>
      </w:r>
    </w:p>
    <w:p w14:paraId="631E1B2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（1）竣工结算合同价格；</w:t>
      </w:r>
    </w:p>
    <w:p w14:paraId="6BE3720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（2）发包人已支付承包人的款项；</w:t>
      </w:r>
    </w:p>
    <w:p w14:paraId="5EEB6E3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（3）应扣留的质量保证金。已缴纳履约保证金的或提供其他工程质量担保方式的除外； </w:t>
      </w:r>
    </w:p>
    <w:p w14:paraId="4342498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（4）发包人应支付承包人的合同价款。</w:t>
      </w:r>
    </w:p>
    <w:p w14:paraId="0728B80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14.2 竣工结算审核</w:t>
      </w:r>
    </w:p>
    <w:p w14:paraId="35E158B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5543C74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11B623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6FCDF9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4C83B1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14.3 甩项竣工协议</w:t>
      </w:r>
    </w:p>
    <w:p w14:paraId="4A3FA99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要求甩项竣工的，合同当事人应签订甩项竣工协议。在甩项竣工协议中应明确，合同当事人按照第14.1款〔竣工结算申请〕及14.2款〔竣工结算审核〕的约定，对已完合格工程进行结算，并支付相应合同价款。</w:t>
      </w:r>
    </w:p>
    <w:p w14:paraId="11EDF52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14.4 最终结清</w:t>
      </w:r>
    </w:p>
    <w:p w14:paraId="7CFE2C7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14.4.1 最终结清申请单</w:t>
      </w:r>
    </w:p>
    <w:p w14:paraId="3601613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（1）除专用合同条款另有约定外，承包人应在缺陷责任期终止证书颁发后7天内，按专用合同条款约定的份数向发包人提交最终结清申请单，并提供相关证明材料。</w:t>
      </w:r>
    </w:p>
    <w:p w14:paraId="31556AA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除专用合同条款另有约定外，最终结清申请单应列明质量保证金、应扣除的质量保证金、缺陷责任期内发生的增减费用。</w:t>
      </w:r>
    </w:p>
    <w:p w14:paraId="46369C8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（2）发包人对最终结清申请单内容有异议的，有权要求承包人进行修正和提供补充资料，承包人应向发包人提交修正后的最终结清申请单。</w:t>
      </w:r>
    </w:p>
    <w:p w14:paraId="76F8E1E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14.4.2 最终结清证书和支付</w:t>
      </w:r>
    </w:p>
    <w:p w14:paraId="0287291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527FB0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44EFF2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（3）承包人对发包人颁发的最终结清证书有异议的，按第20条〔争议解决〕的约定办理。</w:t>
      </w:r>
    </w:p>
    <w:p w14:paraId="4BD4094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 缺陷责任与保修</w:t>
      </w:r>
    </w:p>
    <w:p w14:paraId="1DA36DC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15.1 工程保修的原则</w:t>
      </w:r>
    </w:p>
    <w:p w14:paraId="6E1A79F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在工程移交发包人后，因承包人原因产生的质量缺陷，承包人应承担质量缺陷责任和保修义务。缺陷责任期届满，承包人仍应按合同约定的工程各部位保修年限承担保修义务。</w:t>
      </w:r>
    </w:p>
    <w:p w14:paraId="1D820A9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15.2 缺陷责任期</w:t>
      </w:r>
    </w:p>
    <w:p w14:paraId="13ECB19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15.2.1 缺陷责任期从工程通过竣工验收之日起计算，合同当事人应在专用合同条款约定缺陷责任期的具体期限，但该期限最长不超过24个月。</w:t>
      </w:r>
    </w:p>
    <w:p w14:paraId="126DC42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2E3CD9D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64E0F04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由他人原因造成的缺陷，发包人负责组织维修，承包人不承担费用，且发包人不得从保证金中扣除费用。</w:t>
      </w:r>
    </w:p>
    <w:p w14:paraId="4443157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15.2.3 任何一项缺陷或损坏修复后，经检查证明其影响了工程或工程设备的使用性能，承包人应重新进行合同约定的试验和试运行，试验和试运行的全部费用应由责任方承担。</w:t>
      </w:r>
    </w:p>
    <w:p w14:paraId="471D396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15D79E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15.3 质量保证金</w:t>
      </w:r>
    </w:p>
    <w:p w14:paraId="6DCFE1F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经合同当事人协商一致扣留质量保证金的，应在专用合同条款中予以明确。</w:t>
      </w:r>
    </w:p>
    <w:p w14:paraId="02EF0C8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在工程项目竣工前，承包人已经提供履约担保的，发包人不得同时预留工程质量保证金。</w:t>
      </w:r>
    </w:p>
    <w:p w14:paraId="276E1CB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15.3.1 承包人提供质量保证金的方式</w:t>
      </w:r>
    </w:p>
    <w:p w14:paraId="4941A3D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承包人提供质量保证金有以下三种方式：</w:t>
      </w:r>
    </w:p>
    <w:p w14:paraId="77592CB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（1）质量保证金保函； </w:t>
      </w:r>
    </w:p>
    <w:p w14:paraId="4F1E1B5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（2）相应比例的工程款；</w:t>
      </w:r>
    </w:p>
    <w:p w14:paraId="10D4D37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（3）双方约定的其他方式。</w:t>
      </w:r>
    </w:p>
    <w:p w14:paraId="4341C43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除专用合同条款另有约定外，质量保证金原则上采用上述第（1）种方式。</w:t>
      </w:r>
    </w:p>
    <w:p w14:paraId="32E35BB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15.3.2 质量保证金的扣留</w:t>
      </w:r>
    </w:p>
    <w:p w14:paraId="1AAA916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质量保证金的扣留有以下三种方式：</w:t>
      </w:r>
    </w:p>
    <w:p w14:paraId="5C17AC1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（1）在支付工程进度款时逐次扣留，在此情形下，质量保证金的计算基数不包括预付款的支付、扣回以及价格调整的金额；</w:t>
      </w:r>
    </w:p>
    <w:p w14:paraId="17AF0DE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（2）工程竣工结算时一次性扣留质量保证金；</w:t>
      </w:r>
    </w:p>
    <w:p w14:paraId="76B12C1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（3）双方约定的其他扣留方式。</w:t>
      </w:r>
    </w:p>
    <w:p w14:paraId="11E69A9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除专用合同条款另有约定外，质量保证金的扣留原则上采用上述第（1）种方式。</w:t>
      </w:r>
    </w:p>
    <w:p w14:paraId="36B87BB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21A5B95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发包人在退还质量保证金的同时按照中国人民银行发布的同期同类贷款基准利率支付利息。</w:t>
      </w:r>
    </w:p>
    <w:p w14:paraId="5DCEB66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15.3.3 质量保证金的退还</w:t>
      </w:r>
    </w:p>
    <w:p w14:paraId="77CEEE2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缺陷责任期内，承包人认真履行合同约定的责任，到期后，承包人可向发包人申请返还保证金。</w:t>
      </w:r>
    </w:p>
    <w:p w14:paraId="04A0266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19B298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发包人和承包人对保证金预留、返还以及工程维修质量、费用有争议的，按本合同第20条约定的争议和纠纷解决程序处理。</w:t>
      </w:r>
    </w:p>
    <w:p w14:paraId="731C13A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15.4 保修</w:t>
      </w:r>
    </w:p>
    <w:p w14:paraId="5812557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15.4.1保修责任</w:t>
      </w:r>
    </w:p>
    <w:p w14:paraId="2E11D70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15314C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发包人未经竣工验收擅自使用工程的，保修期自转移占有之日起算。</w:t>
      </w:r>
    </w:p>
    <w:p w14:paraId="2BC5D12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15.4.2 修复费用</w:t>
      </w:r>
    </w:p>
    <w:p w14:paraId="282777D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保修期内，修复的费用按照以下约定处理：</w:t>
      </w:r>
    </w:p>
    <w:p w14:paraId="4C1C66E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（1）保修期内，因承包人原因造成工程的缺陷、损坏，承包人应负责修复，并承担修复的费用以及因工程的缺陷、损坏造成的人身伤害和财产损失；</w:t>
      </w:r>
    </w:p>
    <w:p w14:paraId="1543D3A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（2）保修期内，因发包人使用不当造成工程的缺陷、损坏，可以委托承包人修复，但发包人应承担修复的费用，并支付承包人合理利润；</w:t>
      </w:r>
    </w:p>
    <w:p w14:paraId="3003334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（3）因其他原因造成工程的缺陷、损坏，可以委托承包人修复，发包人应承担修复的费用，并支付承包人合理的利润，因工程的缺陷、损坏造成的人身伤害和财产损失由责任方承担。</w:t>
      </w:r>
    </w:p>
    <w:p w14:paraId="2F6CB6D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15.4.3 修复通知</w:t>
      </w:r>
    </w:p>
    <w:p w14:paraId="20A687F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5D9505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15.4.4 未能修复</w:t>
      </w:r>
    </w:p>
    <w:p w14:paraId="51E3231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77E89A3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15.4.5 承包人出入权</w:t>
      </w:r>
    </w:p>
    <w:p w14:paraId="1396B4F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76B0F4E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 违约</w:t>
      </w:r>
    </w:p>
    <w:p w14:paraId="7AB7B8E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16.1 发包人违约</w:t>
      </w:r>
    </w:p>
    <w:p w14:paraId="79D55A1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16.1.1 发包人违约的情形</w:t>
      </w:r>
    </w:p>
    <w:p w14:paraId="5D235A8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在合同履行过程中发生的下列情形，属于发包人违约：</w:t>
      </w:r>
    </w:p>
    <w:p w14:paraId="4454DF2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（1）因发包人原因未能在计划开工日期前7天内下达开工通知的；</w:t>
      </w:r>
    </w:p>
    <w:p w14:paraId="6F0108A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（2）因发包人原因未能按合同约定支付合同价款的；</w:t>
      </w:r>
    </w:p>
    <w:p w14:paraId="6E43913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（3）发包人违反第10.1款〔变更的范围〕第（2）项约定，自行实施被取消的工作或转由他人实施的；</w:t>
      </w:r>
    </w:p>
    <w:p w14:paraId="0933059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（4）发包人提供的材料、工程设备的规格、数量或质量不符合合同约定，或因发包人原因导致交货日期延误或交货地点变更等情况的；</w:t>
      </w:r>
    </w:p>
    <w:p w14:paraId="417EDAB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（5）因发包人违反合同约定造成暂停施工的；</w:t>
      </w:r>
    </w:p>
    <w:p w14:paraId="4D541D6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（6）发包人无正当理由没有在约定期限内发出复工指示，导致承包人无法复工的；</w:t>
      </w:r>
    </w:p>
    <w:p w14:paraId="4EC2EA5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（7）发包人明确表示或者以其行为表明不履行合同主要义务的；</w:t>
      </w:r>
    </w:p>
    <w:p w14:paraId="31EDFA0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（8）发包人未能按照合同约定履行其他义务的。</w:t>
      </w:r>
    </w:p>
    <w:p w14:paraId="7FD8D7D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1E7598C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16.1.2 发包人违约的责任</w:t>
      </w:r>
    </w:p>
    <w:p w14:paraId="3543C21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发包人应承担因其违约给承包人增加的费用和（或）延误的工期，并支付承包人合理的利润。此外，合同当事人可在专用合同条款中另行约定发包人违约责任的承担方式和计算方法。</w:t>
      </w:r>
    </w:p>
    <w:p w14:paraId="343FE42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16.1.3 因发包人违约解除合同</w:t>
      </w:r>
    </w:p>
    <w:p w14:paraId="27EFEB0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B4E6E9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16.1.4 因发包人违约解除合同后的付款</w:t>
      </w:r>
    </w:p>
    <w:p w14:paraId="01541ED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承包人按照本款约定解除合同的，发包人应在解除合同后28天内支付下列款项，并解除履约担保：</w:t>
      </w:r>
    </w:p>
    <w:p w14:paraId="31226E5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（1）合同解除前所完成工作的价款；</w:t>
      </w:r>
    </w:p>
    <w:p w14:paraId="2BE04CA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（2）承包人为工程施工订购并已付款的材料、工程设备和其他物品的价款；</w:t>
      </w:r>
    </w:p>
    <w:p w14:paraId="4C1808D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（3）承包人撤离施工现场以及遣散承包人人员的款项；</w:t>
      </w:r>
    </w:p>
    <w:p w14:paraId="3BF3FF5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（4）按照合同约定在合同解除前应支付的违约金；</w:t>
      </w:r>
    </w:p>
    <w:p w14:paraId="23C3A14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（5）按照合同约定应当支付给承包人的其他款项；</w:t>
      </w:r>
    </w:p>
    <w:p w14:paraId="5032E5B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（6）按照合同约定应退还的质量保证金；</w:t>
      </w:r>
    </w:p>
    <w:p w14:paraId="002A4D2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（7）因解除合同给承包人造成的损失。</w:t>
      </w:r>
    </w:p>
    <w:p w14:paraId="7735423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合同当事人未能就解除合同后的结清达成一致的，按照第20条〔争议解决〕的约定处理。</w:t>
      </w:r>
    </w:p>
    <w:p w14:paraId="4F038C3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承包人应妥善做好已完工程和与工程有关的已购材料、工程设备的保护和移交工作，并将施工设备和人员撤出施工现场，发包人应为承包人撤出提供必要条件。</w:t>
      </w:r>
    </w:p>
    <w:p w14:paraId="18F2814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16.2 承包人违约</w:t>
      </w:r>
    </w:p>
    <w:p w14:paraId="7AFD485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16.2.1 承包人违约的情形</w:t>
      </w:r>
    </w:p>
    <w:p w14:paraId="56EC87B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在合同履行过程中发生的下列情形，属于承包人违约：</w:t>
      </w:r>
    </w:p>
    <w:p w14:paraId="0283AF2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（1）承包人违反合同约定进行转包或违法分包的；</w:t>
      </w:r>
    </w:p>
    <w:p w14:paraId="3CC8F6F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（2）承包人违反合同约定采购和使用不合格的材料和工程设备的；</w:t>
      </w:r>
    </w:p>
    <w:p w14:paraId="45404F1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（3）因承包人原因导致工程质量不符合合同要求的； </w:t>
      </w:r>
    </w:p>
    <w:p w14:paraId="789A8A9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（4）承包人违反第8.9款〔材料与设备专用要求〕的约定，未经批准，私自将已按照合同约定进入施工现场的材料或设备撤离施工现场的；</w:t>
      </w:r>
    </w:p>
    <w:p w14:paraId="6060C39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（5）承包人未能按施工进度计划及时完成合同约定的工作，造成工期延误的；</w:t>
      </w:r>
    </w:p>
    <w:p w14:paraId="30EBBE3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（6）承包人在缺陷责任期及保修期内，未能在合理期限对工程缺陷进行修复，或拒绝按发包人要求进行修复的；</w:t>
      </w:r>
    </w:p>
    <w:p w14:paraId="5FD940A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（7）承包人明确表示或者以其行为表明不履行合同主要义务的；</w:t>
      </w:r>
    </w:p>
    <w:p w14:paraId="34120A2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（8）承包人未能按照合同约定履行其他义务的。</w:t>
      </w:r>
    </w:p>
    <w:p w14:paraId="29D821B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承包人发生除本项第（7）目约定以外的其他违约情况时，监理人可向承包人发出整改通知，要求其在指定的期限内改正。</w:t>
      </w:r>
    </w:p>
    <w:p w14:paraId="4B88F1D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16.2.2 承包人违约的责任</w:t>
      </w:r>
    </w:p>
    <w:p w14:paraId="0EDD4C1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承包人应承担因其违约行为而增加的费用和（或）延误的工期。此外，合同当事人可在专用合同条款中另行约定承包人违约责任的承担方式和计算方法。</w:t>
      </w:r>
    </w:p>
    <w:p w14:paraId="77F3E03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16.2.3 因承包人违约解除合同</w:t>
      </w:r>
    </w:p>
    <w:p w14:paraId="09AE8EF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BF25DA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16.2.4因承包人违约解除合同后的处理</w:t>
      </w:r>
    </w:p>
    <w:p w14:paraId="21C7C4E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因承包人原因导致合同解除的，则合同当事人应在合同解除后28天内完成估价、付款和清算，并按以下约定执行：</w:t>
      </w:r>
    </w:p>
    <w:p w14:paraId="100BC6B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（1）合同解除后，按第4.4款〔商定或确定〕商定或确定承包人实际完成工作对应的合同价款，以及承包人已提供的材料、工程设备、施工设备和临时工程等的价值；</w:t>
      </w:r>
    </w:p>
    <w:p w14:paraId="67FF83E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（2）合同解除后，承包人应支付的违约金；</w:t>
      </w:r>
    </w:p>
    <w:p w14:paraId="169837C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（3）合同解除后，因解除合同给发包人造成的损失；</w:t>
      </w:r>
    </w:p>
    <w:p w14:paraId="4D69D7A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（4）合同解除后，承包人应按照发包人要求和监理人的指示完成现场的清理和撤离；</w:t>
      </w:r>
    </w:p>
    <w:p w14:paraId="3965D3A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（5）发包人和承包人应在合同解除后进行清算，出具最终结清付款证书，结清全部款项。</w:t>
      </w:r>
    </w:p>
    <w:p w14:paraId="7AD9D83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因承包人违约解除合同的，发包人有权暂停对承包人的付款，查清各项付款和已扣款项。发包人和承包人未能就合同解除后的清算和款项支付达成一致的，按照第20条〔争议解决〕的约定处理。</w:t>
      </w:r>
    </w:p>
    <w:p w14:paraId="10932EE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16.2.5采购合同权益转让</w:t>
      </w:r>
    </w:p>
    <w:p w14:paraId="1840F64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41FFC48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16.3 第三人造成的违约</w:t>
      </w:r>
    </w:p>
    <w:p w14:paraId="78D9590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在履行合同过程中，一方当事人因第三人的原因造成违约的，应当向对方当事人承担违约责任。一方当事人和第三人之间的纠纷，依照法律规定或者按照约定解决。</w:t>
      </w:r>
    </w:p>
    <w:p w14:paraId="736B810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17. 不可抗力 </w:t>
      </w:r>
    </w:p>
    <w:p w14:paraId="54AAE90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17.1 不可抗力的确认</w:t>
      </w:r>
    </w:p>
    <w:p w14:paraId="0B974B7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258024B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64E0D7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17.2 不可抗力的通知</w:t>
      </w:r>
    </w:p>
    <w:p w14:paraId="536C7F4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合同一方当事人遇到不可抗力事件，使其履行合同义务受到阻碍时，应立即通知合同另一方当事人和监理人，书面说明不可抗力和受阻碍的详细情况，并提供必要的证明。</w:t>
      </w:r>
    </w:p>
    <w:p w14:paraId="2774C1A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不可抗力持续发生的，合同一方当事人应及时向合同另一方当事人和监理人提交中间报告，说明不可抗力和履行合同受阻的情况，并于不可抗力事件结束后28天内提交最终报告及有关资料。</w:t>
      </w:r>
    </w:p>
    <w:p w14:paraId="67C8C45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17.3 不可抗力后果的承担</w:t>
      </w:r>
    </w:p>
    <w:p w14:paraId="7D4C66F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17.3.1 不可抗力引起的后果及造成的损失由合同当事人按照法律规定及合同约定各自承担。不可抗力发生前已完成的工程应当按照合同约定进行计量支付。</w:t>
      </w:r>
    </w:p>
    <w:p w14:paraId="2FFBC82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17.3.2 不可抗力导致的人员伤亡、财产损失、费用增加和（或）工期延误等后果，由合同当事人按以下原则承担：</w:t>
      </w:r>
    </w:p>
    <w:p w14:paraId="23C4F34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（1）永久工程、已运至施工现场的材料和工程设备的损坏，以及因工程损坏造成的第三人人员伤亡和财产损失由发包人承担；</w:t>
      </w:r>
    </w:p>
    <w:p w14:paraId="6BF9CEB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（2）承包人施工设备的损坏由承包人承担；</w:t>
      </w:r>
    </w:p>
    <w:p w14:paraId="327A30F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（3）发包人和承包人承担各自人员伤亡和财产的损失；</w:t>
      </w:r>
    </w:p>
    <w:p w14:paraId="497514C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0586CE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（5）因不可抗力引起或将引起工期延误，发包人要求赶工的，由此增加的赶工费用由发包人承担；</w:t>
      </w:r>
    </w:p>
    <w:p w14:paraId="389967C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（6）承包人在停工期间按照发包人要求照管、清理和修复工程的费用由发包人承担。</w:t>
      </w:r>
    </w:p>
    <w:p w14:paraId="183BEE8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不可抗力发生后，合同当事人均应采取措施尽量避免和减少损失的扩大，任何一方当事人没有采取有效措施导致损失扩大的，应对扩大的损失承担责任。</w:t>
      </w:r>
    </w:p>
    <w:p w14:paraId="6668617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因合同一方迟延履行合同义务，在迟延履行期间遭遇不可抗力的，不免除其违约责任。</w:t>
      </w:r>
    </w:p>
    <w:p w14:paraId="7AB8AB3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17.4 因不可抗力解除合同</w:t>
      </w:r>
    </w:p>
    <w:p w14:paraId="584252B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因不可抗力导致合同无法履行连续超过84天或累计超过140天的，发包人和承包人均有权解除合同。合同解除后，由双方当事人按照第4.4款〔商定或确定〕商定或确定发包人应支付的款项，该款项包括：</w:t>
      </w:r>
    </w:p>
    <w:p w14:paraId="5F6F096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（1）合同解除前承包人已完成工作的价款；</w:t>
      </w:r>
    </w:p>
    <w:p w14:paraId="37E27AB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（2）承包人为工程订购的并已交付给承包人，或承包人有责任接受交付的材料、工程设备和其他物品的价款；</w:t>
      </w:r>
    </w:p>
    <w:p w14:paraId="3CB6846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（3）发包人要求承包人退货或解除订货合同而产生的费用，或因不能退货或解除合同而产生的损失；</w:t>
      </w:r>
    </w:p>
    <w:p w14:paraId="29DD1DC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（4）承包人撤离施工现场以及遣散承包人人员的费用；</w:t>
      </w:r>
    </w:p>
    <w:p w14:paraId="1DD87A6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（5）按照合同约定在合同解除前应支付给承包人的其他款项；</w:t>
      </w:r>
    </w:p>
    <w:p w14:paraId="62AD1E6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（6）扣减承包人按照合同约定应向发包人支付的款项；</w:t>
      </w:r>
    </w:p>
    <w:p w14:paraId="670B572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（7）双方商定或确定的其他款项。</w:t>
      </w:r>
    </w:p>
    <w:p w14:paraId="1AE2E6B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除专用合同条款另有约定外，合同解除后，发包人应在商定或确定上述款项后28天内完成上述款项的支付。</w:t>
      </w:r>
    </w:p>
    <w:p w14:paraId="12F5953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 保险</w:t>
      </w:r>
    </w:p>
    <w:p w14:paraId="5BA1294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 工程保险</w:t>
      </w:r>
    </w:p>
    <w:p w14:paraId="2E59FB3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除专用合同条款另有约定外，发包人应投保建筑工程一切险或安装工程一切险；发包人委托承包人投保的，因投保产生的保险费和其他相关费用由发包人承担。</w:t>
      </w:r>
    </w:p>
    <w:p w14:paraId="1B6C314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 工伤保险</w:t>
      </w:r>
    </w:p>
    <w:p w14:paraId="72A40BC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18.2.1 发包人应依照法律规定参加工伤保险，并为在施工现场的全部员工办理工伤保险，缴纳工伤保险费，并要求监理人及由发包人为履行合同聘请的第三方依法参加工伤保险。</w:t>
      </w:r>
    </w:p>
    <w:p w14:paraId="36A0FAE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24317DA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18.3其他保险</w:t>
      </w:r>
    </w:p>
    <w:p w14:paraId="216C14B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发包人和承包人可以为其施工现场的全部人员办理意外伤害保险并支付保险费，包括其员工及为履行合同聘请的第三方的人员，具体事项由合同当事人在专用合同条款约定。</w:t>
      </w:r>
    </w:p>
    <w:p w14:paraId="738F9B6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除专用合同条款另有约定外，承包人应为其施工设备等办理财产保险。</w:t>
      </w:r>
    </w:p>
    <w:p w14:paraId="6860BC1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18.4持续保险</w:t>
      </w:r>
    </w:p>
    <w:p w14:paraId="1C8151B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合同当事人应与保险人保持联系，使保险人能够随时了解工程实施中的变动，并确保按保险合同条款要求持续保险。</w:t>
      </w:r>
    </w:p>
    <w:p w14:paraId="0F224DE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18.5 保险凭证</w:t>
      </w:r>
    </w:p>
    <w:p w14:paraId="7380B66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合同当事人应及时向另一方当事人提交其已投保的各项保险的凭证和保险单复印件。</w:t>
      </w:r>
    </w:p>
    <w:p w14:paraId="2BE3161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18.6 未按约定投保的补救</w:t>
      </w:r>
    </w:p>
    <w:p w14:paraId="2F9FFA2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18.6.1发包人未按合同约定办理保险，或未能使保险持续有效的，则承包人可代为办理，所需费用由发包人承担。发包人未按合同约定办理保险，导致未能得到足额赔偿的，由发包人负责补足。</w:t>
      </w:r>
    </w:p>
    <w:p w14:paraId="400B6D1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18.6.2承包人未按合同约定办理保险，或未能使保险持续有效的，则发包人可代为办理，所需费用由承包人承担。承包人未按合同约定办理保险，导致未能得到足额赔偿的，由承包人负责补足。</w:t>
      </w:r>
    </w:p>
    <w:p w14:paraId="2BED943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18.7 通知义务</w:t>
      </w:r>
    </w:p>
    <w:p w14:paraId="7EF91BC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除专用合同条款另有约定外，发包人变更除工伤保险之外的保险合同时，应事先征得承包人同意，并通知监理人；承包人变更除工伤保险之外的保险合同时，应事先征得发包人同意，并通知监理人。</w:t>
      </w:r>
    </w:p>
    <w:p w14:paraId="6628AD9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保险事故发生时，投保人应按照保险合同规定的条件和期限及时向保险人报告。发包人和承包人应当在知道保险事故发生后及时通知对方。</w:t>
      </w:r>
    </w:p>
    <w:p w14:paraId="7F562E1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19. 索赔</w:t>
      </w:r>
    </w:p>
    <w:p w14:paraId="65A41E9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19.1承包人的索赔</w:t>
      </w:r>
    </w:p>
    <w:p w14:paraId="4F3AAB6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根据合同约定，承包人认为有权得到追加付款和（或）延长工期的，应按以下程序向发包人提出索赔：</w:t>
      </w:r>
    </w:p>
    <w:p w14:paraId="0F01845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5C27ABC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（2）承包人应在发出索赔意向通知书后28天内，向监理人正式递交索赔报告；索赔报告应详细说明索赔理由以及要求追加的付款金额和（或）延长的工期，并附必要的记录和证明材料；</w:t>
      </w:r>
    </w:p>
    <w:p w14:paraId="3D6C03D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（3）索赔事件具有持续影响的，承包人应按合理时间间隔继续递交延续索赔通知，说明持续影响的实际情况和记录，列出累计的追加付款金额和（或）工期延长天数；</w:t>
      </w:r>
    </w:p>
    <w:p w14:paraId="43ABD20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（4）在索赔事件影响结束后28天内，承包人应向监理人递交最终索赔报告，说明最终要求索赔的追加付款金额和（或）延长的工期，并附必要的记录和证明材料。</w:t>
      </w:r>
    </w:p>
    <w:p w14:paraId="148611A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19.2 对承包人索赔的处理</w:t>
      </w:r>
    </w:p>
    <w:p w14:paraId="06F701A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对承包人索赔的处理如下：</w:t>
      </w:r>
    </w:p>
    <w:p w14:paraId="4B9087F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（1）监理人应在收到索赔报告后14天内完成审查并报送发包人。监理人对索赔报告存在异议的，有权要求承包人提交全部原始记录副本；</w:t>
      </w:r>
    </w:p>
    <w:p w14:paraId="7E2823AC">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（2）发包人应在监理人收到索赔报告或有关索赔的进一步证明材料后的28天内，由监理人向承包人出具经发包人签认的索赔处理结果。发包人逾期答复的，则视为认可承包人的索赔要求；</w:t>
      </w:r>
    </w:p>
    <w:p w14:paraId="7A982A1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（3）承包人接受索赔处理结果的，索赔款项在当期进度款中进行支付；承包人不接受索赔处理结果的，按照第20条〔争议解决〕约定处理。</w:t>
      </w:r>
    </w:p>
    <w:p w14:paraId="20A3DDF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19.3发包人的索赔</w:t>
      </w:r>
    </w:p>
    <w:p w14:paraId="2204EC9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根据合同约定，发包人认为有权得到赔付金额和（或）延长缺陷责任期的，监理人应向承包人发出通知并附有详细的证明。</w:t>
      </w:r>
    </w:p>
    <w:p w14:paraId="2EF96A8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4097273">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19.4 对发包人索赔的处理</w:t>
      </w:r>
    </w:p>
    <w:p w14:paraId="4E944EF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对发包人索赔的处理如下：</w:t>
      </w:r>
    </w:p>
    <w:p w14:paraId="4B6F744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（1）承包人收到发包人提交的索赔报告后，应及时审查索赔报告的内容、查验发包人证明材料；</w:t>
      </w:r>
    </w:p>
    <w:p w14:paraId="57B6C2F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（2）承包人应在收到索赔报告或有关索赔的进一步证明材料后28天内，将索赔处理结果答复发包人。如果承包人未在上述期限内作出答复的，则视为对发包人索赔要求的认可；</w:t>
      </w:r>
    </w:p>
    <w:p w14:paraId="7D9A3614">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（3）承包人接受索赔处理结果的，发包人可从应支付给承包人的合同价款中扣除赔付的金额或延长缺陷责任期；发包人不接受索赔处理结果的，按第20条〔争议解决〕约定处理。</w:t>
      </w:r>
    </w:p>
    <w:p w14:paraId="73B649C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19.5 提出索赔的期限</w:t>
      </w:r>
    </w:p>
    <w:p w14:paraId="12643BB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（1）承包人按第14.2款〔竣工结算审核〕约定接收竣工付款证书后，应被视为已无权再提出在工程接收证书颁发前所发生的任何索赔。</w:t>
      </w:r>
    </w:p>
    <w:p w14:paraId="1A201EC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（2）承包人按第14.4款〔最终结清〕提交的最终结清申请单中，只限于提出工程接收证书颁发后发生的索赔。提出索赔的期限自接受最终结清证书时终止。</w:t>
      </w:r>
    </w:p>
    <w:p w14:paraId="439D39EB">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20. 争议解决</w:t>
      </w:r>
    </w:p>
    <w:p w14:paraId="1795556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20.1和解</w:t>
      </w:r>
    </w:p>
    <w:p w14:paraId="3D70778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合同当事人可以就争议自行和解，自行和解达成协议的经双方签字并盖章后作为合同补充文件，双方均应遵照执行。</w:t>
      </w:r>
    </w:p>
    <w:p w14:paraId="764A995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20.2调解</w:t>
      </w:r>
    </w:p>
    <w:p w14:paraId="41372077">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合同当事人可以就争议请求建设行政主管部门、行业协会或其他第三方进行调解，调解达成协议的，经双方签字并盖章后作为合同补充文件，双方均应遵照执行。</w:t>
      </w:r>
    </w:p>
    <w:p w14:paraId="2505971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20.3争议评审</w:t>
      </w:r>
    </w:p>
    <w:p w14:paraId="6C834A2A">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合同当事人在专用合同条款中约定采取争议评审方式解决争议以及评审规则，并按下列约定执行： </w:t>
      </w:r>
    </w:p>
    <w:p w14:paraId="0923E4D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20.3.1 争议评审小组的确定</w:t>
      </w:r>
    </w:p>
    <w:p w14:paraId="36BB3601">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合同当事人可以共同选择一名或三名争议评审员，组成争议评审小组。除专用合同条款另有约定外，合同当事人应当自合同签订后28天内，或者争议发生后14天内，选定争议评审员。</w:t>
      </w:r>
    </w:p>
    <w:p w14:paraId="3BF7EBB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F335B5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除专用合同条款另有约定外，评审员报酬由发包人和承包人各承担一半。</w:t>
      </w:r>
    </w:p>
    <w:p w14:paraId="6EF97A9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20.3.2 争议评审小组的决定</w:t>
      </w:r>
    </w:p>
    <w:p w14:paraId="7CFBD949">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CB0839F">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20.3.3 争议评审小组决定的效力</w:t>
      </w:r>
    </w:p>
    <w:p w14:paraId="22965256">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争议评审小组作出的书面决定经合同当事人签字确认后，对双方具有约束力，双方应遵照执行。</w:t>
      </w:r>
    </w:p>
    <w:p w14:paraId="55FA8295">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任何一方当事人不接受争议评审小组决定或不履行争议评审小组决定的，双方可选择采用其他争议解决方式。</w:t>
      </w:r>
    </w:p>
    <w:p w14:paraId="0C8B70C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20.4仲裁或诉讼</w:t>
      </w:r>
    </w:p>
    <w:p w14:paraId="37C18E4E">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因合同及合同有关事项产生的争议，合同当事人可以在专用合同条款中约定以下一种方式解决争议：</w:t>
      </w:r>
    </w:p>
    <w:p w14:paraId="6EBB8B0D">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（1）向约定的仲裁委员会申请仲裁；</w:t>
      </w:r>
    </w:p>
    <w:p w14:paraId="40A96B42">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（2）向有管辖权的人民法院起诉。</w:t>
      </w:r>
    </w:p>
    <w:p w14:paraId="6CCF0D00">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20.5争议解决条款效力</w:t>
      </w:r>
    </w:p>
    <w:p w14:paraId="1D9FCD98">
      <w:pPr>
        <w:widowControl/>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合同有关争议解决的条款独立存在，合同的变更、解除、终止、无效或者被撤销均不影响其效力。</w:t>
      </w:r>
    </w:p>
    <w:p w14:paraId="31BE4624">
      <w:pPr>
        <w:spacing w:line="360" w:lineRule="auto"/>
        <w:rPr>
          <w:rFonts w:ascii="宋体" w:hAnsi="宋体" w:cs="宋体"/>
          <w:b/>
          <w:color w:val="000000" w:themeColor="text1"/>
          <w:sz w:val="10"/>
          <w:szCs w:val="10"/>
          <w:highlight w:val="none"/>
          <w14:textFill>
            <w14:solidFill>
              <w14:schemeClr w14:val="tx1"/>
            </w14:solidFill>
          </w14:textFill>
        </w:rPr>
      </w:pPr>
    </w:p>
    <w:p w14:paraId="14C576F1">
      <w:pPr>
        <w:pStyle w:val="2"/>
        <w:ind w:firstLine="562"/>
        <w:jc w:val="center"/>
        <w:rPr>
          <w:rFonts w:ascii="宋体" w:hAnsi="宋体" w:cs="宋体"/>
          <w:color w:val="000000" w:themeColor="text1"/>
          <w:highlight w:val="none"/>
          <w14:textFill>
            <w14:solidFill>
              <w14:schemeClr w14:val="tx1"/>
            </w14:solidFill>
          </w14:textFill>
        </w:rPr>
      </w:pPr>
      <w:bookmarkStart w:id="9" w:name="_Toc56007605"/>
      <w:bookmarkStart w:id="10" w:name="_Toc87519054"/>
      <w:bookmarkStart w:id="11" w:name="_Toc126315558"/>
      <w:r>
        <w:rPr>
          <w:rFonts w:hint="eastAsia" w:ascii="宋体" w:hAnsi="宋体" w:cs="宋体"/>
          <w:color w:val="000000" w:themeColor="text1"/>
          <w:highlight w:val="none"/>
          <w14:textFill>
            <w14:solidFill>
              <w14:schemeClr w14:val="tx1"/>
            </w14:solidFill>
          </w14:textFill>
        </w:rPr>
        <w:br w:type="page"/>
      </w:r>
      <w:bookmarkEnd w:id="9"/>
      <w:bookmarkEnd w:id="10"/>
      <w:bookmarkEnd w:id="11"/>
      <w:bookmarkStart w:id="12" w:name="_Toc136596746"/>
      <w:bookmarkStart w:id="13" w:name="_Hlk135129039"/>
      <w:bookmarkStart w:id="14" w:name="_Hlk135214027"/>
      <w:r>
        <w:rPr>
          <w:rFonts w:hint="eastAsia" w:ascii="宋体" w:hAnsi="宋体" w:cs="宋体"/>
          <w:color w:val="000000" w:themeColor="text1"/>
          <w:highlight w:val="none"/>
          <w14:textFill>
            <w14:solidFill>
              <w14:schemeClr w14:val="tx1"/>
            </w14:solidFill>
          </w14:textFill>
        </w:rPr>
        <w:t>第三部分、专用合同条款</w:t>
      </w:r>
      <w:bookmarkEnd w:id="12"/>
    </w:p>
    <w:p w14:paraId="7C1C9806">
      <w:pPr>
        <w:spacing w:line="360" w:lineRule="auto"/>
        <w:ind w:firstLine="480"/>
        <w:rPr>
          <w:rFonts w:ascii="宋体" w:hAnsi="宋体" w:cs="宋体"/>
          <w:color w:val="000000" w:themeColor="text1"/>
          <w:sz w:val="24"/>
          <w:highlight w:val="none"/>
          <w14:textFill>
            <w14:solidFill>
              <w14:schemeClr w14:val="tx1"/>
            </w14:solidFill>
          </w14:textFill>
        </w:rPr>
      </w:pPr>
      <w:bookmarkStart w:id="15" w:name="_Toc351203633"/>
      <w:r>
        <w:rPr>
          <w:rFonts w:hint="eastAsia" w:ascii="宋体" w:hAnsi="宋体" w:cs="宋体"/>
          <w:color w:val="000000" w:themeColor="text1"/>
          <w:sz w:val="24"/>
          <w:highlight w:val="none"/>
          <w14:textFill>
            <w14:solidFill>
              <w14:schemeClr w14:val="tx1"/>
            </w14:solidFill>
          </w14:textFill>
        </w:rPr>
        <w:t>1</w:t>
      </w:r>
      <w:bookmarkStart w:id="16" w:name="_Toc292559361"/>
      <w:bookmarkStart w:id="17" w:name="_Toc297048342"/>
      <w:bookmarkStart w:id="18" w:name="_Toc296891196"/>
      <w:bookmarkStart w:id="19" w:name="_Toc297120456"/>
      <w:bookmarkStart w:id="20" w:name="_Toc292559866"/>
      <w:bookmarkStart w:id="21" w:name="_Toc296944495"/>
      <w:bookmarkStart w:id="22" w:name="_Toc296347155"/>
      <w:bookmarkStart w:id="23" w:name="_Toc296503156"/>
      <w:bookmarkStart w:id="24" w:name="_Toc296890984"/>
      <w:bookmarkStart w:id="25" w:name="_Toc296346657"/>
      <w:r>
        <w:rPr>
          <w:rFonts w:hint="eastAsia" w:ascii="宋体" w:hAnsi="宋体" w:cs="宋体"/>
          <w:color w:val="000000" w:themeColor="text1"/>
          <w:sz w:val="24"/>
          <w:highlight w:val="none"/>
          <w14:textFill>
            <w14:solidFill>
              <w14:schemeClr w14:val="tx1"/>
            </w14:solidFill>
          </w14:textFill>
        </w:rPr>
        <w:t>. 一般约定</w:t>
      </w:r>
      <w:bookmarkEnd w:id="15"/>
    </w:p>
    <w:bookmarkEnd w:id="16"/>
    <w:bookmarkEnd w:id="17"/>
    <w:bookmarkEnd w:id="18"/>
    <w:bookmarkEnd w:id="19"/>
    <w:bookmarkEnd w:id="20"/>
    <w:bookmarkEnd w:id="21"/>
    <w:bookmarkEnd w:id="22"/>
    <w:bookmarkEnd w:id="23"/>
    <w:bookmarkEnd w:id="24"/>
    <w:bookmarkEnd w:id="25"/>
    <w:p w14:paraId="39AA18ED">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 词语定义</w:t>
      </w:r>
    </w:p>
    <w:p w14:paraId="4457C1EB">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1.1.1合同</w:t>
      </w:r>
    </w:p>
    <w:p w14:paraId="50B3A096">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1.1.1.10其他合同文件包括：</w:t>
      </w:r>
      <w:r>
        <w:rPr>
          <w:rFonts w:hint="eastAsia" w:ascii="宋体" w:hAnsi="宋体" w:cs="宋体"/>
          <w:bCs/>
          <w:color w:val="000000" w:themeColor="text1"/>
          <w:sz w:val="24"/>
          <w:highlight w:val="none"/>
          <w:u w:val="single"/>
          <w14:textFill>
            <w14:solidFill>
              <w14:schemeClr w14:val="tx1"/>
            </w14:solidFill>
          </w14:textFill>
        </w:rPr>
        <w:t xml:space="preserve"> 合同履行中，发包人和承包人有关工程的会议纪要、工程变更、签证、工程洽商、有关通知、信件、数据电文等，以及法律、法规规定具有证明效力和合同效力的文件或资料视为本合同的组成部分。</w:t>
      </w:r>
    </w:p>
    <w:p w14:paraId="01E94018">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1.1.2 合同当事人及其他相关方</w:t>
      </w:r>
    </w:p>
    <w:p w14:paraId="74B47F6D">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1.1.2.4监理人： </w:t>
      </w:r>
      <w:r>
        <w:rPr>
          <w:rFonts w:ascii="宋体" w:hAnsi="宋体" w:cs="宋体"/>
          <w:bCs/>
          <w:color w:val="000000" w:themeColor="text1"/>
          <w:sz w:val="24"/>
          <w:highlight w:val="none"/>
          <w14:textFill>
            <w14:solidFill>
              <w14:schemeClr w14:val="tx1"/>
            </w14:solidFill>
          </w14:textFill>
        </w:rPr>
        <w:t xml:space="preserve">                                                  </w:t>
      </w:r>
    </w:p>
    <w:p w14:paraId="2BDBAD22">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名称：</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4D289B6C">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资质类别和等级：</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71410205">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05CDE169">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电子信箱：</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 xml:space="preserve">； </w:t>
      </w:r>
      <w:r>
        <w:rPr>
          <w:rFonts w:ascii="宋体" w:hAnsi="宋体" w:cs="宋体"/>
          <w:bCs/>
          <w:color w:val="000000" w:themeColor="text1"/>
          <w:sz w:val="24"/>
          <w:highlight w:val="none"/>
          <w14:textFill>
            <w14:solidFill>
              <w14:schemeClr w14:val="tx1"/>
            </w14:solidFill>
          </w14:textFill>
        </w:rPr>
        <w:t xml:space="preserve">                                                                                                                                                                                </w:t>
      </w:r>
    </w:p>
    <w:p w14:paraId="34B680A7">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通信地址：</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13FA819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1.1.2.5 设计人：</w:t>
      </w:r>
    </w:p>
    <w:p w14:paraId="4CE1EBC4">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名称：</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w:t>
      </w:r>
    </w:p>
    <w:p w14:paraId="1FFB185F">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资质类别和等级：</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3EE3FC5D">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3C2BBE40">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电子信箱：</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4393317A">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通信地址：</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5EF057FF">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1.3法律 </w:t>
      </w:r>
    </w:p>
    <w:p w14:paraId="3F19C7AB">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适用于合同的其他规范性文件：</w:t>
      </w:r>
      <w:r>
        <w:rPr>
          <w:rFonts w:hint="eastAsia" w:ascii="宋体" w:hAnsi="宋体" w:cs="宋体"/>
          <w:bCs/>
          <w:color w:val="000000" w:themeColor="text1"/>
          <w:sz w:val="24"/>
          <w:highlight w:val="none"/>
          <w:u w:val="single"/>
          <w14:textFill>
            <w14:solidFill>
              <w14:schemeClr w14:val="tx1"/>
            </w14:solidFill>
          </w14:textFill>
        </w:rPr>
        <w:t>中华人民共和国法律、法规、部门规章以及当地现行的地方法规和地方政府规章。</w:t>
      </w:r>
    </w:p>
    <w:p w14:paraId="3EE907E4">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1.4 标准和规范</w:t>
      </w:r>
    </w:p>
    <w:p w14:paraId="25F5D396">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1.4.1适用于工程的标准规范包括：</w:t>
      </w:r>
      <w:r>
        <w:rPr>
          <w:rFonts w:hint="eastAsia" w:ascii="宋体" w:hAnsi="宋体" w:cs="宋体"/>
          <w:bCs/>
          <w:color w:val="000000" w:themeColor="text1"/>
          <w:sz w:val="24"/>
          <w:highlight w:val="none"/>
          <w:u w:val="single"/>
          <w14:textFill>
            <w14:solidFill>
              <w14:schemeClr w14:val="tx1"/>
            </w14:solidFill>
          </w14:textFill>
        </w:rPr>
        <w:t>执行国家建筑工程施工及验收规范标准以及材料设备所涉及的现行国家省市或行业的工程建设标准规范的要求。</w:t>
      </w:r>
    </w:p>
    <w:p w14:paraId="31934C4F">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国内没有相应标准、规范时的约定：</w:t>
      </w:r>
      <w:r>
        <w:rPr>
          <w:rFonts w:hint="eastAsia" w:ascii="宋体" w:hAnsi="宋体" w:cs="宋体"/>
          <w:bCs/>
          <w:color w:val="000000" w:themeColor="text1"/>
          <w:sz w:val="24"/>
          <w:highlight w:val="none"/>
          <w:u w:val="single"/>
          <w14:textFill>
            <w14:solidFill>
              <w14:schemeClr w14:val="tx1"/>
            </w14:solidFill>
          </w14:textFill>
        </w:rPr>
        <w:t>按照企业在技术监督局的备案标准，并经监理工程师和业主同意。</w:t>
      </w:r>
    </w:p>
    <w:p w14:paraId="6BD9D5B3">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1.4.2 发包人提供国外标准、规范的名称： </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470D4392">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发包人提供国外标准、规范的份数：</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2064C84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发包人提供国外标准、规范的名称：</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48DD65A8">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1.4.3发包人对工程的技术标准和功能要求的特殊要求：</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132F093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1.5 合同文件的优先顺序</w:t>
      </w:r>
    </w:p>
    <w:p w14:paraId="037575F4">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合同文件组成及优先顺序为：</w:t>
      </w:r>
      <w:r>
        <w:rPr>
          <w:rFonts w:hint="eastAsia" w:ascii="宋体" w:hAnsi="宋体" w:cs="宋体"/>
          <w:bCs/>
          <w:color w:val="000000" w:themeColor="text1"/>
          <w:sz w:val="24"/>
          <w:highlight w:val="none"/>
          <w:u w:val="single"/>
          <w14:textFill>
            <w14:solidFill>
              <w14:schemeClr w14:val="tx1"/>
            </w14:solidFill>
          </w14:textFill>
        </w:rPr>
        <w:t>合同协议书；中标通知书；投标函及其附录；专用合同条款及其附件；通用合同条款；技术标准和要求；图纸；已标价工程量清单或预算书；其他合同文件。</w:t>
      </w:r>
    </w:p>
    <w:p w14:paraId="36AD97DE">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 图纸和承包人文件</w:t>
      </w:r>
    </w:p>
    <w:p w14:paraId="2850CEDD">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1.6.1 图纸的提供</w:t>
      </w:r>
    </w:p>
    <w:p w14:paraId="4DF1A5A9">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发包人向承包人提供图纸的期限：</w:t>
      </w:r>
      <w:r>
        <w:rPr>
          <w:rFonts w:hint="eastAsia" w:ascii="宋体" w:hAnsi="宋体" w:cs="宋体"/>
          <w:bCs/>
          <w:color w:val="000000" w:themeColor="text1"/>
          <w:sz w:val="24"/>
          <w:highlight w:val="none"/>
          <w:u w:val="single"/>
          <w14:textFill>
            <w14:solidFill>
              <w14:schemeClr w14:val="tx1"/>
            </w14:solidFill>
          </w14:textFill>
        </w:rPr>
        <w:t>承发包双方签订施工合同后5日内</w:t>
      </w:r>
      <w:r>
        <w:rPr>
          <w:rFonts w:hint="eastAsia" w:ascii="宋体" w:hAnsi="宋体" w:cs="宋体"/>
          <w:bCs/>
          <w:color w:val="000000" w:themeColor="text1"/>
          <w:sz w:val="24"/>
          <w:highlight w:val="none"/>
          <w14:textFill>
            <w14:solidFill>
              <w14:schemeClr w14:val="tx1"/>
            </w14:solidFill>
          </w14:textFill>
        </w:rPr>
        <w:t>；</w:t>
      </w:r>
    </w:p>
    <w:p w14:paraId="6DBEF5C9">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发包人向承包人提供图纸的数量：</w:t>
      </w:r>
      <w:r>
        <w:rPr>
          <w:rFonts w:hint="eastAsia" w:ascii="宋体" w:hAnsi="宋体" w:cs="宋体"/>
          <w:bCs/>
          <w:color w:val="000000" w:themeColor="text1"/>
          <w:sz w:val="24"/>
          <w:highlight w:val="none"/>
          <w:u w:val="single"/>
          <w14:textFill>
            <w14:solidFill>
              <w14:schemeClr w14:val="tx1"/>
            </w14:solidFill>
          </w14:textFill>
        </w:rPr>
        <w:t>提供6套图纸，提供的图纸数量不满足要求，承包人可向发包人申请加晒图纸，费用由承包人承担。承包人购买使用的标准图集、技术规范所需的费用均已包括在投标报价中，发包人无须另行支付</w:t>
      </w:r>
      <w:r>
        <w:rPr>
          <w:rFonts w:hint="eastAsia" w:ascii="宋体" w:hAnsi="宋体" w:cs="宋体"/>
          <w:bCs/>
          <w:color w:val="000000" w:themeColor="text1"/>
          <w:sz w:val="24"/>
          <w:highlight w:val="none"/>
          <w14:textFill>
            <w14:solidFill>
              <w14:schemeClr w14:val="tx1"/>
            </w14:solidFill>
          </w14:textFill>
        </w:rPr>
        <w:t>；</w:t>
      </w:r>
    </w:p>
    <w:p w14:paraId="2F0ED213">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发包人向承包人提供图纸的内容：</w:t>
      </w:r>
      <w:r>
        <w:rPr>
          <w:rFonts w:hint="eastAsia" w:ascii="宋体" w:hAnsi="宋体" w:cs="宋体"/>
          <w:bCs/>
          <w:color w:val="000000" w:themeColor="text1"/>
          <w:sz w:val="24"/>
          <w:highlight w:val="none"/>
          <w:u w:val="single"/>
          <w14:textFill>
            <w14:solidFill>
              <w14:schemeClr w14:val="tx1"/>
            </w14:solidFill>
          </w14:textFill>
        </w:rPr>
        <w:t>详见图纸目录</w:t>
      </w:r>
      <w:r>
        <w:rPr>
          <w:rFonts w:hint="eastAsia" w:ascii="宋体" w:hAnsi="宋体" w:cs="宋体"/>
          <w:bCs/>
          <w:color w:val="000000" w:themeColor="text1"/>
          <w:sz w:val="24"/>
          <w:highlight w:val="none"/>
          <w14:textFill>
            <w14:solidFill>
              <w14:schemeClr w14:val="tx1"/>
            </w14:solidFill>
          </w14:textFill>
        </w:rPr>
        <w:t>；</w:t>
      </w:r>
    </w:p>
    <w:p w14:paraId="1AC4A49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发包人对图纸的保密要求：</w:t>
      </w:r>
      <w:r>
        <w:rPr>
          <w:rFonts w:hint="eastAsia" w:ascii="宋体" w:hAnsi="宋体" w:cs="宋体"/>
          <w:bCs/>
          <w:color w:val="000000" w:themeColor="text1"/>
          <w:sz w:val="24"/>
          <w:highlight w:val="none"/>
          <w:u w:val="single"/>
          <w14:textFill>
            <w14:solidFill>
              <w14:schemeClr w14:val="tx1"/>
            </w14:solidFill>
          </w14:textFill>
        </w:rPr>
        <w:t>承包人不得将图纸提供给与本工程无关的第三方，仅用于本工程的施工及验收的全过程，否则发包人将按照国家及相关法律，追究其责任并要求赔偿</w:t>
      </w:r>
      <w:r>
        <w:rPr>
          <w:rFonts w:hint="eastAsia" w:ascii="宋体" w:hAnsi="宋体" w:cs="宋体"/>
          <w:bCs/>
          <w:color w:val="000000" w:themeColor="text1"/>
          <w:sz w:val="24"/>
          <w:highlight w:val="none"/>
          <w14:textFill>
            <w14:solidFill>
              <w14:schemeClr w14:val="tx1"/>
            </w14:solidFill>
          </w14:textFill>
        </w:rPr>
        <w:t>。</w:t>
      </w:r>
    </w:p>
    <w:p w14:paraId="4B5DB5B2">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1.6.4 承包人文件</w:t>
      </w:r>
    </w:p>
    <w:p w14:paraId="77A15E67">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需要由承包人提供的文件，包括：</w:t>
      </w:r>
      <w:r>
        <w:rPr>
          <w:rFonts w:hint="eastAsia" w:ascii="宋体" w:hAnsi="宋体" w:cs="宋体"/>
          <w:bCs/>
          <w:color w:val="000000" w:themeColor="text1"/>
          <w:sz w:val="24"/>
          <w:highlight w:val="none"/>
          <w:u w:val="single"/>
          <w14:textFill>
            <w14:solidFill>
              <w14:schemeClr w14:val="tx1"/>
            </w14:solidFill>
          </w14:textFill>
        </w:rPr>
        <w:t>施工组织设计及方案、施工过程管控资料及相关会议纪要、联系函等文件；所有与工程施工有关建设标准和规范（包括图集）由承包人自行采购</w:t>
      </w:r>
      <w:r>
        <w:rPr>
          <w:rFonts w:hint="eastAsia" w:ascii="宋体" w:hAnsi="宋体" w:cs="宋体"/>
          <w:bCs/>
          <w:color w:val="000000" w:themeColor="text1"/>
          <w:sz w:val="24"/>
          <w:highlight w:val="none"/>
          <w14:textFill>
            <w14:solidFill>
              <w14:schemeClr w14:val="tx1"/>
            </w14:solidFill>
          </w14:textFill>
        </w:rPr>
        <w:t>；</w:t>
      </w:r>
    </w:p>
    <w:p w14:paraId="6486F031">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承包人提供的文件的期限为：</w:t>
      </w:r>
      <w:r>
        <w:rPr>
          <w:rFonts w:hint="eastAsia" w:ascii="宋体" w:hAnsi="宋体" w:cs="宋体"/>
          <w:bCs/>
          <w:color w:val="000000" w:themeColor="text1"/>
          <w:sz w:val="24"/>
          <w:highlight w:val="none"/>
          <w:u w:val="single"/>
          <w14:textFill>
            <w14:solidFill>
              <w14:schemeClr w14:val="tx1"/>
            </w14:solidFill>
          </w14:textFill>
        </w:rPr>
        <w:t>以发包人要求为准</w:t>
      </w:r>
      <w:r>
        <w:rPr>
          <w:rFonts w:hint="eastAsia" w:ascii="宋体" w:hAnsi="宋体" w:cs="宋体"/>
          <w:bCs/>
          <w:color w:val="000000" w:themeColor="text1"/>
          <w:sz w:val="24"/>
          <w:highlight w:val="none"/>
          <w14:textFill>
            <w14:solidFill>
              <w14:schemeClr w14:val="tx1"/>
            </w14:solidFill>
          </w14:textFill>
        </w:rPr>
        <w:t>；</w:t>
      </w:r>
    </w:p>
    <w:p w14:paraId="7FD04129">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承包人提供的文件的数量为：</w:t>
      </w:r>
      <w:r>
        <w:rPr>
          <w:rFonts w:hint="eastAsia" w:ascii="宋体" w:hAnsi="宋体" w:cs="宋体"/>
          <w:bCs/>
          <w:color w:val="000000" w:themeColor="text1"/>
          <w:sz w:val="24"/>
          <w:highlight w:val="none"/>
          <w:u w:val="single"/>
          <w14:textFill>
            <w14:solidFill>
              <w14:schemeClr w14:val="tx1"/>
            </w14:solidFill>
          </w14:textFill>
        </w:rPr>
        <w:t>以发包人要求为准</w:t>
      </w:r>
      <w:r>
        <w:rPr>
          <w:rFonts w:hint="eastAsia" w:ascii="宋体" w:hAnsi="宋体" w:cs="宋体"/>
          <w:bCs/>
          <w:color w:val="000000" w:themeColor="text1"/>
          <w:sz w:val="24"/>
          <w:highlight w:val="none"/>
          <w14:textFill>
            <w14:solidFill>
              <w14:schemeClr w14:val="tx1"/>
            </w14:solidFill>
          </w14:textFill>
        </w:rPr>
        <w:t>；</w:t>
      </w:r>
    </w:p>
    <w:p w14:paraId="3112A3A1">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承包人提供的文件的形式为：</w:t>
      </w:r>
      <w:r>
        <w:rPr>
          <w:rFonts w:hint="eastAsia" w:ascii="宋体" w:hAnsi="宋体" w:cs="宋体"/>
          <w:bCs/>
          <w:color w:val="000000" w:themeColor="text1"/>
          <w:sz w:val="24"/>
          <w:highlight w:val="none"/>
          <w:u w:val="single"/>
          <w14:textFill>
            <w14:solidFill>
              <w14:schemeClr w14:val="tx1"/>
            </w14:solidFill>
          </w14:textFill>
        </w:rPr>
        <w:t xml:space="preserve">以发包人要求为准 </w:t>
      </w:r>
      <w:r>
        <w:rPr>
          <w:rFonts w:hint="eastAsia" w:ascii="宋体" w:hAnsi="宋体" w:cs="宋体"/>
          <w:bCs/>
          <w:color w:val="000000" w:themeColor="text1"/>
          <w:sz w:val="24"/>
          <w:highlight w:val="none"/>
          <w14:textFill>
            <w14:solidFill>
              <w14:schemeClr w14:val="tx1"/>
            </w14:solidFill>
          </w14:textFill>
        </w:rPr>
        <w:t>；</w:t>
      </w:r>
    </w:p>
    <w:p w14:paraId="2D96FFF0">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发包人审批承包人文件的期限：</w:t>
      </w:r>
      <w:r>
        <w:rPr>
          <w:rFonts w:hint="eastAsia" w:ascii="宋体" w:hAnsi="宋体" w:cs="宋体"/>
          <w:bCs/>
          <w:color w:val="000000" w:themeColor="text1"/>
          <w:sz w:val="24"/>
          <w:highlight w:val="none"/>
          <w:u w:val="single"/>
          <w14:textFill>
            <w14:solidFill>
              <w14:schemeClr w14:val="tx1"/>
            </w14:solidFill>
          </w14:textFill>
        </w:rPr>
        <w:t>七日内</w:t>
      </w:r>
      <w:r>
        <w:rPr>
          <w:rFonts w:hint="eastAsia" w:ascii="宋体" w:hAnsi="宋体" w:cs="宋体"/>
          <w:bCs/>
          <w:color w:val="000000" w:themeColor="text1"/>
          <w:sz w:val="24"/>
          <w:highlight w:val="none"/>
          <w14:textFill>
            <w14:solidFill>
              <w14:schemeClr w14:val="tx1"/>
            </w14:solidFill>
          </w14:textFill>
        </w:rPr>
        <w:t>。</w:t>
      </w:r>
    </w:p>
    <w:p w14:paraId="16CECC59">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1.6.5 现场图纸准备</w:t>
      </w:r>
    </w:p>
    <w:p w14:paraId="18555EF5">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关于现场图纸准备的约定：</w:t>
      </w:r>
      <w:r>
        <w:rPr>
          <w:rFonts w:hint="eastAsia" w:ascii="宋体" w:hAnsi="宋体" w:cs="宋体"/>
          <w:bCs/>
          <w:color w:val="000000" w:themeColor="text1"/>
          <w:sz w:val="24"/>
          <w:highlight w:val="none"/>
          <w:u w:val="single"/>
          <w14:textFill>
            <w14:solidFill>
              <w14:schemeClr w14:val="tx1"/>
            </w14:solidFill>
          </w14:textFill>
        </w:rPr>
        <w:t>执行通用条款1.6.5</w:t>
      </w:r>
    </w:p>
    <w:p w14:paraId="3A6359B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1.7 联络</w:t>
      </w:r>
    </w:p>
    <w:p w14:paraId="4837FC04">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1.7.1发包人和承包人应当在</w:t>
      </w:r>
      <w:r>
        <w:rPr>
          <w:rFonts w:hint="eastAsia" w:ascii="宋体" w:hAnsi="宋体" w:cs="宋体"/>
          <w:bCs/>
          <w:color w:val="000000" w:themeColor="text1"/>
          <w:sz w:val="24"/>
          <w:highlight w:val="none"/>
          <w:u w:val="single"/>
          <w14:textFill>
            <w14:solidFill>
              <w14:schemeClr w14:val="tx1"/>
            </w14:solidFill>
          </w14:textFill>
        </w:rPr>
        <w:t xml:space="preserve"> 7 </w:t>
      </w:r>
      <w:r>
        <w:rPr>
          <w:rFonts w:hint="eastAsia" w:ascii="宋体" w:hAnsi="宋体" w:cs="宋体"/>
          <w:bCs/>
          <w:color w:val="000000" w:themeColor="text1"/>
          <w:kern w:val="0"/>
          <w:sz w:val="24"/>
          <w:highlight w:val="none"/>
          <w14:textFill>
            <w14:solidFill>
              <w14:schemeClr w14:val="tx1"/>
            </w14:solidFill>
          </w14:textFill>
        </w:rPr>
        <w:t>天内将与合同有关的通知、批准、证明、证书、指示、指令、要求、请求、同意、意见、确定和决定等书面函件送达对方当事人。</w:t>
      </w:r>
    </w:p>
    <w:p w14:paraId="4309D21F">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1.7.2 发包人接收文件的地点：</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kern w:val="0"/>
          <w:sz w:val="24"/>
          <w:highlight w:val="none"/>
          <w14:textFill>
            <w14:solidFill>
              <w14:schemeClr w14:val="tx1"/>
            </w14:solidFill>
          </w14:textFill>
        </w:rPr>
        <w:t>；</w:t>
      </w:r>
    </w:p>
    <w:p w14:paraId="42A4670C">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发包人指定的接收人为：</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kern w:val="0"/>
          <w:sz w:val="24"/>
          <w:highlight w:val="none"/>
          <w14:textFill>
            <w14:solidFill>
              <w14:schemeClr w14:val="tx1"/>
            </w14:solidFill>
          </w14:textFill>
        </w:rPr>
        <w:t>。</w:t>
      </w:r>
    </w:p>
    <w:p w14:paraId="589BE1ED">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承包人接收文件的地点：</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kern w:val="0"/>
          <w:sz w:val="24"/>
          <w:highlight w:val="none"/>
          <w14:textFill>
            <w14:solidFill>
              <w14:schemeClr w14:val="tx1"/>
            </w14:solidFill>
          </w14:textFill>
        </w:rPr>
        <w:t>；</w:t>
      </w:r>
    </w:p>
    <w:p w14:paraId="35E8235A">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承包人指定的接收人为：</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kern w:val="0"/>
          <w:sz w:val="24"/>
          <w:highlight w:val="none"/>
          <w14:textFill>
            <w14:solidFill>
              <w14:schemeClr w14:val="tx1"/>
            </w14:solidFill>
          </w14:textFill>
        </w:rPr>
        <w:t>；</w:t>
      </w:r>
    </w:p>
    <w:p w14:paraId="737863D9">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监理人接收文件的地点：</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kern w:val="0"/>
          <w:sz w:val="24"/>
          <w:highlight w:val="none"/>
          <w14:textFill>
            <w14:solidFill>
              <w14:schemeClr w14:val="tx1"/>
            </w14:solidFill>
          </w14:textFill>
        </w:rPr>
        <w:t>；</w:t>
      </w:r>
    </w:p>
    <w:p w14:paraId="383B76C4">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监理人指定的接收人为：</w:t>
      </w:r>
      <w:r>
        <w:rPr>
          <w:rFonts w:hint="eastAsia" w:ascii="宋体" w:hAnsi="宋体" w:cs="宋体"/>
          <w:bCs/>
          <w:color w:val="000000" w:themeColor="text1"/>
          <w:sz w:val="24"/>
          <w:highlight w:val="none"/>
          <w:u w:val="single"/>
          <w14:textFill>
            <w14:solidFill>
              <w14:schemeClr w14:val="tx1"/>
            </w14:solidFill>
          </w14:textFill>
        </w:rPr>
        <w:t xml:space="preserve">          </w:t>
      </w:r>
      <w:r>
        <w:rPr>
          <w:rFonts w:hint="eastAsia" w:ascii="宋体" w:hAnsi="宋体" w:cs="宋体"/>
          <w:bCs/>
          <w:color w:val="000000" w:themeColor="text1"/>
          <w:kern w:val="0"/>
          <w:sz w:val="24"/>
          <w:highlight w:val="none"/>
          <w14:textFill>
            <w14:solidFill>
              <w14:schemeClr w14:val="tx1"/>
            </w14:solidFill>
          </w14:textFill>
        </w:rPr>
        <w:t>。</w:t>
      </w:r>
    </w:p>
    <w:p w14:paraId="2EE4E173">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1.10 交通运输</w:t>
      </w:r>
    </w:p>
    <w:p w14:paraId="52E73211">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w:t>
      </w:r>
      <w:bookmarkStart w:id="26" w:name="_Toc312677986"/>
      <w:bookmarkStart w:id="27" w:name="_Toc303539100"/>
      <w:bookmarkStart w:id="28" w:name="_Toc304295521"/>
      <w:bookmarkStart w:id="29" w:name="_Toc300934943"/>
      <w:bookmarkStart w:id="30" w:name="_Toc318581155"/>
      <w:r>
        <w:rPr>
          <w:rFonts w:hint="eastAsia" w:ascii="宋体" w:hAnsi="宋体" w:cs="宋体"/>
          <w:bCs/>
          <w:color w:val="000000" w:themeColor="text1"/>
          <w:sz w:val="24"/>
          <w:highlight w:val="none"/>
          <w14:textFill>
            <w14:solidFill>
              <w14:schemeClr w14:val="tx1"/>
            </w14:solidFill>
          </w14:textFill>
        </w:rPr>
        <w:t>.10.1 出入现场的权利</w:t>
      </w:r>
    </w:p>
    <w:p w14:paraId="022A767D">
      <w:pPr>
        <w:spacing w:line="360" w:lineRule="auto"/>
        <w:ind w:left="596" w:leftChars="284"/>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关于出入现场的权利的约定：</w:t>
      </w:r>
      <w:r>
        <w:rPr>
          <w:rFonts w:hint="eastAsia" w:ascii="宋体" w:hAnsi="宋体" w:cs="宋体"/>
          <w:bCs/>
          <w:color w:val="000000" w:themeColor="text1"/>
          <w:sz w:val="24"/>
          <w:highlight w:val="none"/>
          <w:u w:val="single"/>
          <w14:textFill>
            <w14:solidFill>
              <w14:schemeClr w14:val="tx1"/>
            </w14:solidFill>
          </w14:textFill>
        </w:rPr>
        <w:t xml:space="preserve">见通用条款1.10.1 </w:t>
      </w:r>
      <w:r>
        <w:rPr>
          <w:rFonts w:hint="eastAsia" w:ascii="宋体" w:hAnsi="宋体" w:cs="宋体"/>
          <w:bCs/>
          <w:color w:val="000000" w:themeColor="text1"/>
          <w:sz w:val="24"/>
          <w:highlight w:val="none"/>
          <w14:textFill>
            <w14:solidFill>
              <w14:schemeClr w14:val="tx1"/>
            </w14:solidFill>
          </w14:textFill>
        </w:rPr>
        <w:t>。</w:t>
      </w:r>
    </w:p>
    <w:bookmarkEnd w:id="26"/>
    <w:bookmarkEnd w:id="27"/>
    <w:bookmarkEnd w:id="28"/>
    <w:bookmarkEnd w:id="29"/>
    <w:bookmarkEnd w:id="30"/>
    <w:p w14:paraId="46620FC3">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w:t>
      </w:r>
      <w:bookmarkStart w:id="31" w:name="_Toc304295522"/>
      <w:bookmarkStart w:id="32" w:name="_Toc318581156"/>
      <w:bookmarkStart w:id="33" w:name="_Toc312677987"/>
      <w:bookmarkStart w:id="34" w:name="_Toc303539101"/>
      <w:bookmarkStart w:id="35" w:name="_Toc300934944"/>
      <w:r>
        <w:rPr>
          <w:rFonts w:hint="eastAsia" w:ascii="宋体" w:hAnsi="宋体" w:cs="宋体"/>
          <w:bCs/>
          <w:color w:val="000000" w:themeColor="text1"/>
          <w:sz w:val="24"/>
          <w:highlight w:val="none"/>
          <w14:textFill>
            <w14:solidFill>
              <w14:schemeClr w14:val="tx1"/>
            </w14:solidFill>
          </w14:textFill>
        </w:rPr>
        <w:t>.10.3 场内交通</w:t>
      </w:r>
    </w:p>
    <w:p w14:paraId="22A4ECC6">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关于场外交通和场内交通的边界的约定：</w:t>
      </w:r>
      <w:r>
        <w:rPr>
          <w:rFonts w:hint="eastAsia" w:ascii="宋体" w:hAnsi="宋体" w:cs="宋体"/>
          <w:bCs/>
          <w:color w:val="000000" w:themeColor="text1"/>
          <w:sz w:val="24"/>
          <w:highlight w:val="none"/>
          <w:u w:val="single"/>
          <w14:textFill>
            <w14:solidFill>
              <w14:schemeClr w14:val="tx1"/>
            </w14:solidFill>
          </w14:textFill>
        </w:rPr>
        <w:t>场外道路若因承包人原因造成损坏，承包人应负责及时修复并承担相关费用。</w:t>
      </w:r>
    </w:p>
    <w:bookmarkEnd w:id="31"/>
    <w:bookmarkEnd w:id="32"/>
    <w:bookmarkEnd w:id="33"/>
    <w:bookmarkEnd w:id="34"/>
    <w:bookmarkEnd w:id="35"/>
    <w:p w14:paraId="0FD667F4">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bookmarkStart w:id="36" w:name="_Toc318581157"/>
      <w:r>
        <w:rPr>
          <w:rFonts w:hint="eastAsia" w:ascii="宋体" w:hAnsi="宋体" w:cs="宋体"/>
          <w:bCs/>
          <w:color w:val="000000" w:themeColor="text1"/>
          <w:sz w:val="24"/>
          <w:highlight w:val="none"/>
          <w14:textFill>
            <w14:solidFill>
              <w14:schemeClr w14:val="tx1"/>
            </w14:solidFill>
          </w14:textFill>
        </w:rPr>
        <w:t>1.10.4超大件和超重件的运输</w:t>
      </w:r>
    </w:p>
    <w:p w14:paraId="7EE83C85">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运输超大件或超重件所需的道路和桥梁临时加固改造费用和其他有关费用由</w:t>
      </w:r>
      <w:r>
        <w:rPr>
          <w:rFonts w:hint="eastAsia" w:ascii="宋体" w:hAnsi="宋体" w:cs="宋体"/>
          <w:bCs/>
          <w:color w:val="000000" w:themeColor="text1"/>
          <w:sz w:val="24"/>
          <w:highlight w:val="none"/>
          <w:u w:val="single"/>
          <w14:textFill>
            <w14:solidFill>
              <w14:schemeClr w14:val="tx1"/>
            </w14:solidFill>
          </w14:textFill>
        </w:rPr>
        <w:t xml:space="preserve"> 承包人 </w:t>
      </w:r>
      <w:r>
        <w:rPr>
          <w:rFonts w:hint="eastAsia" w:ascii="宋体" w:hAnsi="宋体" w:cs="宋体"/>
          <w:bCs/>
          <w:color w:val="000000" w:themeColor="text1"/>
          <w:sz w:val="24"/>
          <w:highlight w:val="none"/>
          <w14:textFill>
            <w14:solidFill>
              <w14:schemeClr w14:val="tx1"/>
            </w14:solidFill>
          </w14:textFill>
        </w:rPr>
        <w:t>承担。</w:t>
      </w:r>
    </w:p>
    <w:bookmarkEnd w:id="36"/>
    <w:p w14:paraId="188058A0">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1.11 知识产权</w:t>
      </w:r>
    </w:p>
    <w:p w14:paraId="699FD01E">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Cs/>
          <w:color w:val="000000" w:themeColor="text1"/>
          <w:sz w:val="24"/>
          <w:highlight w:val="none"/>
          <w:u w:val="single"/>
          <w14:textFill>
            <w14:solidFill>
              <w14:schemeClr w14:val="tx1"/>
            </w14:solidFill>
          </w14:textFill>
        </w:rPr>
        <w:t xml:space="preserve">归发包人所有 </w:t>
      </w:r>
      <w:r>
        <w:rPr>
          <w:rFonts w:hint="eastAsia" w:ascii="宋体" w:hAnsi="宋体" w:cs="宋体"/>
          <w:bCs/>
          <w:color w:val="000000" w:themeColor="text1"/>
          <w:sz w:val="24"/>
          <w:highlight w:val="none"/>
          <w14:textFill>
            <w14:solidFill>
              <w14:schemeClr w14:val="tx1"/>
            </w14:solidFill>
          </w14:textFill>
        </w:rPr>
        <w:t>。</w:t>
      </w:r>
    </w:p>
    <w:p w14:paraId="5AB97499">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关于发包人提供的上述文件的使用限制的要求：</w:t>
      </w:r>
      <w:r>
        <w:rPr>
          <w:rFonts w:hint="eastAsia" w:ascii="宋体" w:hAnsi="宋体" w:cs="宋体"/>
          <w:bCs/>
          <w:color w:val="000000" w:themeColor="text1"/>
          <w:sz w:val="24"/>
          <w:highlight w:val="none"/>
          <w:u w:val="single"/>
          <w14:textFill>
            <w14:solidFill>
              <w14:schemeClr w14:val="tx1"/>
            </w14:solidFill>
          </w14:textFill>
        </w:rPr>
        <w:t xml:space="preserve"> 未经发包人允许，承包人不得将本工程的设计图纸及有关数据进行修改、复制、描绘或提供给第三方使用，亦不得作为非本工程所属的其它工程建设之用。</w:t>
      </w:r>
    </w:p>
    <w:p w14:paraId="076642EE">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1.11.2 关于承包人为实施工程所编制文件的著作权的归属：</w:t>
      </w:r>
      <w:r>
        <w:rPr>
          <w:rFonts w:hint="eastAsia" w:ascii="宋体" w:hAnsi="宋体" w:cs="宋体"/>
          <w:bCs/>
          <w:color w:val="000000" w:themeColor="text1"/>
          <w:sz w:val="24"/>
          <w:highlight w:val="none"/>
          <w:u w:val="single"/>
          <w14:textFill>
            <w14:solidFill>
              <w14:schemeClr w14:val="tx1"/>
            </w14:solidFill>
          </w14:textFill>
        </w:rPr>
        <w:t xml:space="preserve"> 除署名权以外的著作权归发包人所有。承包人应确保对本工程所提供的产品和技术拥有完整的权利，不侵犯他人合法在先的知识产权以及其它权利，确保任何第三人不得向发包人主张任何权利，否则给发包人造成损失的，承包人应承担全部责任。</w:t>
      </w:r>
    </w:p>
    <w:p w14:paraId="58EC2841">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关于承包人提供的上述文件的使用限制的要求：</w:t>
      </w:r>
      <w:r>
        <w:rPr>
          <w:rFonts w:hint="eastAsia" w:ascii="宋体" w:hAnsi="宋体" w:cs="宋体"/>
          <w:bCs/>
          <w:color w:val="000000" w:themeColor="text1"/>
          <w:sz w:val="24"/>
          <w:highlight w:val="none"/>
          <w:u w:val="single"/>
          <w14:textFill>
            <w14:solidFill>
              <w14:schemeClr w14:val="tx1"/>
            </w14:solidFill>
          </w14:textFill>
        </w:rPr>
        <w:t>承包人可因实施工程的运行、调试、维修、改造等目的而复制、使用此类文件，但不能用于与合同无关的其他事项。未经发包人书面同意，承包人不得为了合同以外的目的而复制、使用上述文件或将之提供给任何第三方 。</w:t>
      </w:r>
    </w:p>
    <w:p w14:paraId="4210F37A">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1.11.4 承包人在施工过程中所采用的专利、专有技术、技术秘密的使用费的承担方式：</w:t>
      </w:r>
      <w:r>
        <w:rPr>
          <w:rFonts w:hint="eastAsia" w:ascii="宋体" w:hAnsi="宋体" w:cs="宋体"/>
          <w:bCs/>
          <w:color w:val="000000" w:themeColor="text1"/>
          <w:sz w:val="24"/>
          <w:highlight w:val="none"/>
          <w:u w:val="single"/>
          <w14:textFill>
            <w14:solidFill>
              <w14:schemeClr w14:val="tx1"/>
            </w14:solidFill>
          </w14:textFill>
        </w:rPr>
        <w:t>由承包人自行承担。</w:t>
      </w:r>
    </w:p>
    <w:p w14:paraId="471A99DB">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1.13工程量清单错误的修正</w:t>
      </w:r>
    </w:p>
    <w:p w14:paraId="384095A4">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出现工程量清单错误时，是否调整合同价格：</w:t>
      </w:r>
      <w:r>
        <w:rPr>
          <w:rFonts w:hint="eastAsia" w:ascii="宋体" w:hAnsi="宋体" w:cs="宋体"/>
          <w:bCs/>
          <w:color w:val="000000" w:themeColor="text1"/>
          <w:sz w:val="24"/>
          <w:highlight w:val="none"/>
          <w:u w:val="single"/>
          <w:lang w:val="en-US" w:eastAsia="zh-CN"/>
          <w14:textFill>
            <w14:solidFill>
              <w14:schemeClr w14:val="tx1"/>
            </w14:solidFill>
          </w14:textFill>
        </w:rPr>
        <w:t>按通用条款约定执行</w:t>
      </w:r>
      <w:r>
        <w:rPr>
          <w:rFonts w:hint="eastAsia" w:ascii="宋体" w:hAnsi="宋体" w:cs="宋体"/>
          <w:bCs/>
          <w:color w:val="000000" w:themeColor="text1"/>
          <w:sz w:val="24"/>
          <w:highlight w:val="none"/>
          <w:u w:val="single"/>
          <w14:textFill>
            <w14:solidFill>
              <w14:schemeClr w14:val="tx1"/>
            </w14:solidFill>
          </w14:textFill>
        </w:rPr>
        <w:t>。</w:t>
      </w:r>
    </w:p>
    <w:p w14:paraId="5BF09C8D">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允许调整合同价格的工程量偏差范围：工程施工过程中招标范围内工程量的综合单价不予调整。工程结算时，投标时不平衡报价的综合单价的工程量发生重大变化，发包人有权对此项综合单价进行调整，调整的原则为：在总价不变的情况下，以上限控制价综合单价的8</w:t>
      </w:r>
      <w:r>
        <w:rPr>
          <w:rFonts w:ascii="宋体" w:hAnsi="宋体" w:cs="宋体"/>
          <w:bCs/>
          <w:color w:val="000000" w:themeColor="text1"/>
          <w:sz w:val="24"/>
          <w:highlight w:val="none"/>
          <w:u w:val="single"/>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w:t>
      </w:r>
      <w:r>
        <w:rPr>
          <w:rFonts w:ascii="宋体" w:hAnsi="宋体" w:cs="宋体"/>
          <w:bCs/>
          <w:color w:val="000000" w:themeColor="text1"/>
          <w:sz w:val="24"/>
          <w:highlight w:val="none"/>
          <w:u w:val="single"/>
          <w14:textFill>
            <w14:solidFill>
              <w14:schemeClr w14:val="tx1"/>
            </w14:solidFill>
          </w14:textFill>
        </w:rPr>
        <w:t>-100</w:t>
      </w:r>
      <w:r>
        <w:rPr>
          <w:rFonts w:hint="eastAsia" w:ascii="宋体" w:hAnsi="宋体" w:cs="宋体"/>
          <w:bCs/>
          <w:color w:val="000000" w:themeColor="text1"/>
          <w:sz w:val="24"/>
          <w:highlight w:val="none"/>
          <w:u w:val="single"/>
          <w14:textFill>
            <w14:solidFill>
              <w14:schemeClr w14:val="tx1"/>
            </w14:solidFill>
          </w14:textFill>
        </w:rPr>
        <w:t>%为界，低于8</w:t>
      </w:r>
      <w:r>
        <w:rPr>
          <w:rFonts w:ascii="宋体" w:hAnsi="宋体" w:cs="宋体"/>
          <w:bCs/>
          <w:color w:val="000000" w:themeColor="text1"/>
          <w:sz w:val="24"/>
          <w:highlight w:val="none"/>
          <w:u w:val="single"/>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%者调整至上限控制价综合单价的8</w:t>
      </w:r>
      <w:r>
        <w:rPr>
          <w:rFonts w:ascii="宋体" w:hAnsi="宋体" w:cs="宋体"/>
          <w:bCs/>
          <w:color w:val="000000" w:themeColor="text1"/>
          <w:sz w:val="24"/>
          <w:highlight w:val="none"/>
          <w:u w:val="single"/>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%，高于1</w:t>
      </w:r>
      <w:r>
        <w:rPr>
          <w:rFonts w:ascii="宋体" w:hAnsi="宋体" w:cs="宋体"/>
          <w:bCs/>
          <w:color w:val="000000" w:themeColor="text1"/>
          <w:sz w:val="24"/>
          <w:highlight w:val="none"/>
          <w:u w:val="single"/>
          <w14:textFill>
            <w14:solidFill>
              <w14:schemeClr w14:val="tx1"/>
            </w14:solidFill>
          </w14:textFill>
        </w:rPr>
        <w:t>00</w:t>
      </w:r>
      <w:r>
        <w:rPr>
          <w:rFonts w:hint="eastAsia" w:ascii="宋体" w:hAnsi="宋体" w:cs="宋体"/>
          <w:bCs/>
          <w:color w:val="000000" w:themeColor="text1"/>
          <w:sz w:val="24"/>
          <w:highlight w:val="none"/>
          <w:u w:val="single"/>
          <w14:textFill>
            <w14:solidFill>
              <w14:schemeClr w14:val="tx1"/>
            </w14:solidFill>
          </w14:textFill>
        </w:rPr>
        <w:t>%者调整至综合单价上限控制价的1</w:t>
      </w:r>
      <w:r>
        <w:rPr>
          <w:rFonts w:ascii="宋体" w:hAnsi="宋体" w:cs="宋体"/>
          <w:bCs/>
          <w:color w:val="000000" w:themeColor="text1"/>
          <w:sz w:val="24"/>
          <w:highlight w:val="none"/>
          <w:u w:val="single"/>
          <w14:textFill>
            <w14:solidFill>
              <w14:schemeClr w14:val="tx1"/>
            </w14:solidFill>
          </w14:textFill>
        </w:rPr>
        <w:t>00</w:t>
      </w:r>
      <w:r>
        <w:rPr>
          <w:rFonts w:hint="eastAsia" w:ascii="宋体" w:hAnsi="宋体" w:cs="宋体"/>
          <w:bCs/>
          <w:color w:val="000000" w:themeColor="text1"/>
          <w:sz w:val="24"/>
          <w:highlight w:val="none"/>
          <w:u w:val="single"/>
          <w14:textFill>
            <w14:solidFill>
              <w14:schemeClr w14:val="tx1"/>
            </w14:solidFill>
          </w14:textFill>
        </w:rPr>
        <w:t>%，调整产生的差额在措施费中分摊处理。修正后综合单价为最终综合单价，作为结算依据。</w:t>
      </w:r>
    </w:p>
    <w:p w14:paraId="7F4669A9">
      <w:pPr>
        <w:spacing w:line="360" w:lineRule="auto"/>
        <w:ind w:firstLine="480"/>
        <w:rPr>
          <w:rFonts w:ascii="宋体" w:hAnsi="宋体" w:cs="宋体"/>
          <w:color w:val="000000" w:themeColor="text1"/>
          <w:sz w:val="24"/>
          <w:highlight w:val="none"/>
          <w14:textFill>
            <w14:solidFill>
              <w14:schemeClr w14:val="tx1"/>
            </w14:solidFill>
          </w14:textFill>
        </w:rPr>
      </w:pPr>
      <w:bookmarkStart w:id="37" w:name="_Toc351203634"/>
      <w:r>
        <w:rPr>
          <w:rFonts w:hint="eastAsia" w:ascii="宋体" w:hAnsi="宋体" w:cs="宋体"/>
          <w:color w:val="000000" w:themeColor="text1"/>
          <w:sz w:val="24"/>
          <w:highlight w:val="none"/>
          <w14:textFill>
            <w14:solidFill>
              <w14:schemeClr w14:val="tx1"/>
            </w14:solidFill>
          </w14:textFill>
        </w:rPr>
        <w:t>2</w:t>
      </w:r>
      <w:bookmarkStart w:id="38" w:name="_Toc296891197"/>
      <w:bookmarkStart w:id="39" w:name="_Toc296503157"/>
      <w:bookmarkStart w:id="40" w:name="_Toc297120457"/>
      <w:bookmarkStart w:id="41" w:name="_Toc296890985"/>
      <w:bookmarkStart w:id="42" w:name="_Toc296944496"/>
      <w:bookmarkStart w:id="43" w:name="_Toc292559867"/>
      <w:bookmarkStart w:id="44" w:name="_Toc296346658"/>
      <w:bookmarkStart w:id="45" w:name="_Toc297048343"/>
      <w:bookmarkStart w:id="46" w:name="_Toc296347156"/>
      <w:bookmarkStart w:id="47" w:name="_Toc292559362"/>
      <w:r>
        <w:rPr>
          <w:rFonts w:hint="eastAsia" w:ascii="宋体" w:hAnsi="宋体" w:cs="宋体"/>
          <w:color w:val="000000" w:themeColor="text1"/>
          <w:sz w:val="24"/>
          <w:highlight w:val="none"/>
          <w14:textFill>
            <w14:solidFill>
              <w14:schemeClr w14:val="tx1"/>
            </w14:solidFill>
          </w14:textFill>
        </w:rPr>
        <w:t>. 发包人</w:t>
      </w:r>
      <w:bookmarkEnd w:id="37"/>
    </w:p>
    <w:bookmarkEnd w:id="38"/>
    <w:bookmarkEnd w:id="39"/>
    <w:bookmarkEnd w:id="40"/>
    <w:bookmarkEnd w:id="41"/>
    <w:bookmarkEnd w:id="42"/>
    <w:bookmarkEnd w:id="43"/>
    <w:bookmarkEnd w:id="44"/>
    <w:bookmarkEnd w:id="45"/>
    <w:bookmarkEnd w:id="46"/>
    <w:bookmarkEnd w:id="47"/>
    <w:p w14:paraId="55D1466A">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 发包人代表</w:t>
      </w:r>
    </w:p>
    <w:p w14:paraId="34008B4D">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发包人代表：</w:t>
      </w:r>
    </w:p>
    <w:p w14:paraId="68014DBF">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7A895EFB">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身份证号：</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2A64A2ED">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职    务：</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70B6DF3A">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3AE58DCD">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电子信箱：</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5C093DAE">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通信地址：</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650F4EA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发包人对发包人代表的授权范围如下：</w:t>
      </w:r>
      <w:r>
        <w:rPr>
          <w:rFonts w:hint="eastAsia" w:ascii="宋体" w:hAnsi="宋体" w:cs="宋体"/>
          <w:bCs/>
          <w:color w:val="000000" w:themeColor="text1"/>
          <w:sz w:val="24"/>
          <w:highlight w:val="none"/>
          <w:u w:val="single"/>
          <w14:textFill>
            <w14:solidFill>
              <w14:schemeClr w14:val="tx1"/>
            </w14:solidFill>
          </w14:textFill>
        </w:rPr>
        <w:t xml:space="preserve">负责施工全过程内、外部关系协调、处理往来文件，对工程进度、质量、变更指令、签证、竣工验收等进行管理。发包人派驻工程师工作中的行为和指令均视为发包人具有法律效力的行为或指令。  </w:t>
      </w:r>
    </w:p>
    <w:p w14:paraId="461EF2C3">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2.4 施工现场、施工条件和基础资料的提供</w:t>
      </w:r>
    </w:p>
    <w:p w14:paraId="1B342DAD">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2.4.1 提供施工现场</w:t>
      </w:r>
    </w:p>
    <w:p w14:paraId="6DE9D463">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关于发包人移交施工现场的期限要求：</w:t>
      </w:r>
      <w:r>
        <w:rPr>
          <w:rFonts w:hint="eastAsia" w:ascii="宋体" w:hAnsi="宋体" w:cs="宋体"/>
          <w:bCs/>
          <w:color w:val="000000" w:themeColor="text1"/>
          <w:sz w:val="24"/>
          <w:highlight w:val="none"/>
          <w:u w:val="single"/>
          <w14:textFill>
            <w14:solidFill>
              <w14:schemeClr w14:val="tx1"/>
            </w14:solidFill>
          </w14:textFill>
        </w:rPr>
        <w:t xml:space="preserve">开工前7天 </w:t>
      </w:r>
      <w:r>
        <w:rPr>
          <w:rFonts w:hint="eastAsia" w:ascii="宋体" w:hAnsi="宋体" w:cs="宋体"/>
          <w:bCs/>
          <w:color w:val="000000" w:themeColor="text1"/>
          <w:sz w:val="24"/>
          <w:highlight w:val="none"/>
          <w14:textFill>
            <w14:solidFill>
              <w14:schemeClr w14:val="tx1"/>
            </w14:solidFill>
          </w14:textFill>
        </w:rPr>
        <w:t>。</w:t>
      </w:r>
    </w:p>
    <w:p w14:paraId="36A866F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2.4.2 提供施工条件</w:t>
      </w:r>
    </w:p>
    <w:p w14:paraId="532E5539">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关于发包人应负责提供施工所需要的条件，包括：</w:t>
      </w:r>
      <w:r>
        <w:rPr>
          <w:rFonts w:hint="eastAsia" w:ascii="宋体" w:hAnsi="宋体" w:cs="宋体"/>
          <w:bCs/>
          <w:color w:val="000000" w:themeColor="text1"/>
          <w:sz w:val="24"/>
          <w:highlight w:val="none"/>
          <w:u w:val="single"/>
          <w14:textFill>
            <w14:solidFill>
              <w14:schemeClr w14:val="tx1"/>
            </w14:solidFill>
          </w14:textFill>
        </w:rPr>
        <w:t>工程开工前7日内，组织现场水准点与坐标控制点交验，承包人自行安装水电表及相关设备。</w:t>
      </w:r>
    </w:p>
    <w:p w14:paraId="20D0C187">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2.9 发包人工作</w:t>
      </w:r>
    </w:p>
    <w:p w14:paraId="3A87875C">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2.9.1发包人应按约定的时间和要求完成以下工作：</w:t>
      </w:r>
    </w:p>
    <w:p w14:paraId="31F9F09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（1）工程开工前，完成施工现场准备，使现场具备施工条件。</w:t>
      </w:r>
    </w:p>
    <w:p w14:paraId="16A1DBAA">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（2）施工用水、电、电讯线路由发包人协调总包单位向承包人提供接口，由承包人负责安装水、电表，由承包人承担施工水电费。</w:t>
      </w:r>
    </w:p>
    <w:p w14:paraId="2440BF27">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（3）水准点与坐标控制点交验要求：发包人以书面形式交验，并于交付施工现场时，在现场实际交验，并作交验记录。</w:t>
      </w:r>
    </w:p>
    <w:p w14:paraId="3A91EF4C">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（4）图纸会审和设计交底时间：工程开工前5日内。</w:t>
      </w:r>
    </w:p>
    <w:p w14:paraId="474C5DBA">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（5）协助承包人办理工程范围内有关占地挖沟、坑、跨越通讯、上下水、热水管、马路、树木剪伐的审批手续等；</w:t>
      </w:r>
    </w:p>
    <w:p w14:paraId="68314010">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（6）负责提供承包人施工时所需电源、工具间、材料间。</w:t>
      </w:r>
    </w:p>
    <w:p w14:paraId="33739C23">
      <w:pPr>
        <w:spacing w:line="360" w:lineRule="auto"/>
        <w:ind w:firstLine="480"/>
        <w:rPr>
          <w:rFonts w:ascii="宋体" w:hAnsi="宋体" w:cs="宋体"/>
          <w:color w:val="000000" w:themeColor="text1"/>
          <w:sz w:val="24"/>
          <w:highlight w:val="none"/>
          <w14:textFill>
            <w14:solidFill>
              <w14:schemeClr w14:val="tx1"/>
            </w14:solidFill>
          </w14:textFill>
        </w:rPr>
      </w:pPr>
      <w:bookmarkStart w:id="48" w:name="_Toc351203635"/>
      <w:r>
        <w:rPr>
          <w:rFonts w:hint="eastAsia" w:ascii="宋体" w:hAnsi="宋体" w:cs="宋体"/>
          <w:color w:val="000000" w:themeColor="text1"/>
          <w:sz w:val="24"/>
          <w:highlight w:val="none"/>
          <w14:textFill>
            <w14:solidFill>
              <w14:schemeClr w14:val="tx1"/>
            </w14:solidFill>
          </w14:textFill>
        </w:rPr>
        <w:t>3</w:t>
      </w:r>
      <w:bookmarkStart w:id="49" w:name="_Toc296890986"/>
      <w:bookmarkStart w:id="50" w:name="_Toc296503158"/>
      <w:bookmarkStart w:id="51" w:name="_Toc296347157"/>
      <w:bookmarkStart w:id="52" w:name="_Toc292559868"/>
      <w:bookmarkStart w:id="53" w:name="_Toc297048344"/>
      <w:bookmarkStart w:id="54" w:name="_Toc292559363"/>
      <w:bookmarkStart w:id="55" w:name="_Toc296346659"/>
      <w:bookmarkStart w:id="56" w:name="_Toc297120458"/>
      <w:bookmarkStart w:id="57" w:name="_Toc296944497"/>
      <w:bookmarkStart w:id="58" w:name="_Toc296891198"/>
      <w:r>
        <w:rPr>
          <w:rFonts w:hint="eastAsia" w:ascii="宋体" w:hAnsi="宋体" w:cs="宋体"/>
          <w:color w:val="000000" w:themeColor="text1"/>
          <w:sz w:val="24"/>
          <w:highlight w:val="none"/>
          <w14:textFill>
            <w14:solidFill>
              <w14:schemeClr w14:val="tx1"/>
            </w14:solidFill>
          </w14:textFill>
        </w:rPr>
        <w:t>. 承包人</w:t>
      </w:r>
      <w:bookmarkEnd w:id="48"/>
    </w:p>
    <w:bookmarkEnd w:id="49"/>
    <w:bookmarkEnd w:id="50"/>
    <w:bookmarkEnd w:id="51"/>
    <w:bookmarkEnd w:id="52"/>
    <w:bookmarkEnd w:id="53"/>
    <w:bookmarkEnd w:id="54"/>
    <w:bookmarkEnd w:id="55"/>
    <w:bookmarkEnd w:id="56"/>
    <w:bookmarkEnd w:id="57"/>
    <w:bookmarkEnd w:id="58"/>
    <w:p w14:paraId="214E74F1">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3.1 承包人的一般义务</w:t>
      </w:r>
    </w:p>
    <w:p w14:paraId="313B058C">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（9）</w:t>
      </w:r>
      <w:r>
        <w:rPr>
          <w:rFonts w:hint="eastAsia" w:ascii="宋体" w:hAnsi="宋体" w:cs="宋体"/>
          <w:bCs/>
          <w:color w:val="000000" w:themeColor="text1"/>
          <w:sz w:val="24"/>
          <w:highlight w:val="none"/>
          <w14:textFill>
            <w14:solidFill>
              <w14:schemeClr w14:val="tx1"/>
            </w14:solidFill>
          </w14:textFill>
        </w:rPr>
        <w:t>承包人提交的竣工资料的内容：</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kern w:val="0"/>
          <w:sz w:val="24"/>
          <w:highlight w:val="none"/>
          <w:u w:val="single"/>
          <w14:textFill>
            <w14:solidFill>
              <w14:schemeClr w14:val="tx1"/>
            </w14:solidFill>
          </w14:textFill>
        </w:rPr>
        <w:t>竣工图及竣工验收资料</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w:t>
      </w:r>
    </w:p>
    <w:p w14:paraId="6EB58324">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承包人需要提交的竣工资料套数： </w:t>
      </w:r>
      <w:r>
        <w:rPr>
          <w:rFonts w:hint="eastAsia" w:ascii="宋体" w:hAnsi="宋体" w:cs="宋体"/>
          <w:bCs/>
          <w:color w:val="000000" w:themeColor="text1"/>
          <w:sz w:val="24"/>
          <w:highlight w:val="none"/>
          <w:u w:val="single"/>
          <w14:textFill>
            <w14:solidFill>
              <w14:schemeClr w14:val="tx1"/>
            </w14:solidFill>
          </w14:textFill>
        </w:rPr>
        <w:t>八套</w:t>
      </w:r>
      <w:r>
        <w:rPr>
          <w:rFonts w:hint="eastAsia" w:ascii="宋体" w:hAnsi="宋体" w:cs="宋体"/>
          <w:bCs/>
          <w:color w:val="000000" w:themeColor="text1"/>
          <w:sz w:val="24"/>
          <w:highlight w:val="none"/>
          <w14:textFill>
            <w14:solidFill>
              <w14:schemeClr w14:val="tx1"/>
            </w14:solidFill>
          </w14:textFill>
        </w:rPr>
        <w:t xml:space="preserve"> 。</w:t>
      </w:r>
    </w:p>
    <w:p w14:paraId="6B144FCF">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承包人提交的竣工资料的费用承担：</w:t>
      </w:r>
      <w:r>
        <w:rPr>
          <w:rFonts w:hint="eastAsia" w:ascii="宋体" w:hAnsi="宋体" w:cs="宋体"/>
          <w:bCs/>
          <w:color w:val="000000" w:themeColor="text1"/>
          <w:sz w:val="24"/>
          <w:highlight w:val="none"/>
          <w:u w:val="single"/>
          <w14:textFill>
            <w14:solidFill>
              <w14:schemeClr w14:val="tx1"/>
            </w14:solidFill>
          </w14:textFill>
        </w:rPr>
        <w:t xml:space="preserve"> 由承包人承担 </w:t>
      </w:r>
      <w:r>
        <w:rPr>
          <w:rFonts w:hint="eastAsia" w:ascii="宋体" w:hAnsi="宋体" w:cs="宋体"/>
          <w:bCs/>
          <w:color w:val="000000" w:themeColor="text1"/>
          <w:sz w:val="24"/>
          <w:highlight w:val="none"/>
          <w14:textFill>
            <w14:solidFill>
              <w14:schemeClr w14:val="tx1"/>
            </w14:solidFill>
          </w14:textFill>
        </w:rPr>
        <w:t>。</w:t>
      </w:r>
    </w:p>
    <w:p w14:paraId="11B2E32C">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承包人提交的竣工资料移交时间：</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kern w:val="0"/>
          <w:sz w:val="24"/>
          <w:highlight w:val="none"/>
          <w:u w:val="single"/>
          <w14:textFill>
            <w14:solidFill>
              <w14:schemeClr w14:val="tx1"/>
            </w14:solidFill>
          </w14:textFill>
        </w:rPr>
        <w:t>竣工验收后28天内</w:t>
      </w:r>
      <w:r>
        <w:rPr>
          <w:rFonts w:hint="eastAsia" w:ascii="宋体" w:hAnsi="宋体" w:cs="宋体"/>
          <w:bCs/>
          <w:color w:val="000000" w:themeColor="text1"/>
          <w:sz w:val="24"/>
          <w:highlight w:val="none"/>
          <w14:textFill>
            <w14:solidFill>
              <w14:schemeClr w14:val="tx1"/>
            </w14:solidFill>
          </w14:textFill>
        </w:rPr>
        <w:t>。</w:t>
      </w:r>
    </w:p>
    <w:p w14:paraId="043045C2">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承包人提交的竣工资料形式要求：</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kern w:val="0"/>
          <w:sz w:val="24"/>
          <w:highlight w:val="none"/>
          <w:u w:val="single"/>
          <w14:textFill>
            <w14:solidFill>
              <w14:schemeClr w14:val="tx1"/>
            </w14:solidFill>
          </w14:textFill>
        </w:rPr>
        <w:t>书面形式及电子文档</w:t>
      </w:r>
      <w:r>
        <w:rPr>
          <w:rFonts w:hint="eastAsia" w:ascii="宋体" w:hAnsi="宋体" w:cs="宋体"/>
          <w:bCs/>
          <w:color w:val="000000" w:themeColor="text1"/>
          <w:sz w:val="24"/>
          <w:highlight w:val="none"/>
          <w14:textFill>
            <w14:solidFill>
              <w14:schemeClr w14:val="tx1"/>
            </w14:solidFill>
          </w14:textFill>
        </w:rPr>
        <w:t>。</w:t>
      </w:r>
    </w:p>
    <w:p w14:paraId="1488F619">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3.2 项目经理</w:t>
      </w:r>
    </w:p>
    <w:p w14:paraId="2D16AF84">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3.2.1 项目经理：</w:t>
      </w:r>
    </w:p>
    <w:p w14:paraId="451BEA34">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w:t>
      </w:r>
    </w:p>
    <w:p w14:paraId="5741BBB7">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身份证号：</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766F623F">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r>
        <w:rPr>
          <w:rFonts w:hint="eastAsia" w:ascii="宋体" w:hAnsi="宋体" w:cs="宋体"/>
          <w:bCs/>
          <w:color w:val="000000" w:themeColor="text1"/>
          <w:sz w:val="24"/>
          <w:highlight w:val="none"/>
          <w:u w:val="single"/>
          <w14:textFill>
            <w14:solidFill>
              <w14:schemeClr w14:val="tx1"/>
            </w14:solidFill>
          </w14:textFill>
        </w:rPr>
        <w:t>         </w:t>
      </w:r>
      <w:r>
        <w:rPr>
          <w:rFonts w:hint="eastAsia" w:ascii="宋体" w:hAnsi="宋体" w:cs="宋体"/>
          <w:bCs/>
          <w:color w:val="000000" w:themeColor="text1"/>
          <w:sz w:val="24"/>
          <w:highlight w:val="none"/>
          <w14:textFill>
            <w14:solidFill>
              <w14:schemeClr w14:val="tx1"/>
            </w14:solidFill>
          </w14:textFill>
        </w:rPr>
        <w:t>；</w:t>
      </w:r>
    </w:p>
    <w:p w14:paraId="5C1853F5">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电子信箱：</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3DB443E7">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通信地址：</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565A371A">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承包人对项目经理的授权范围如下：</w:t>
      </w:r>
      <w:r>
        <w:rPr>
          <w:rFonts w:hint="eastAsia" w:ascii="宋体" w:hAnsi="宋体" w:cs="宋体"/>
          <w:bCs/>
          <w:color w:val="000000" w:themeColor="text1"/>
          <w:sz w:val="24"/>
          <w:highlight w:val="none"/>
          <w:u w:val="single"/>
          <w14:textFill>
            <w14:solidFill>
              <w14:schemeClr w14:val="tx1"/>
            </w14:solidFill>
          </w14:textFill>
        </w:rPr>
        <w:t xml:space="preserve"> 项目经理为承包人书面委派常驻现场负责执行本合同和管理本合同工程的代表。凡本合同执行中的有关技术、工程进度、现场管理、质量检验、结算与支付等方面工作，由其代表承包人全面负责。</w:t>
      </w:r>
    </w:p>
    <w:p w14:paraId="61DB20AB">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关于项目经理每月在施工现场的时间要求：</w:t>
      </w:r>
      <w:r>
        <w:rPr>
          <w:rFonts w:hint="eastAsia" w:ascii="宋体" w:hAnsi="宋体" w:cs="宋体"/>
          <w:bCs/>
          <w:color w:val="000000" w:themeColor="text1"/>
          <w:sz w:val="24"/>
          <w:highlight w:val="none"/>
          <w:u w:val="single"/>
          <w14:textFill>
            <w14:solidFill>
              <w14:schemeClr w14:val="tx1"/>
            </w14:solidFill>
          </w14:textFill>
        </w:rPr>
        <w:t>承包人项目经理必须确保每周不少于六天在项目现场工作，并参加发包人及监理人工程师组织的每周例会，无故离开现场或未按要求参加例会，应当向发包人承担2000元/天（次）的违约金。项目经理离开施工现场24小时以上的，必须向监理方及发包人提出书面申请，经双方批准同意后方可离开。</w:t>
      </w:r>
    </w:p>
    <w:p w14:paraId="522120DD">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承包人未提交劳动合同，以及没有为项目经理缴纳社会保险证明的违约责任：</w:t>
      </w:r>
      <w:r>
        <w:rPr>
          <w:rFonts w:hint="eastAsia" w:ascii="宋体" w:hAnsi="宋体" w:cs="宋体"/>
          <w:bCs/>
          <w:color w:val="000000" w:themeColor="text1"/>
          <w:sz w:val="24"/>
          <w:highlight w:val="none"/>
          <w:u w:val="single"/>
          <w14:textFill>
            <w14:solidFill>
              <w14:schemeClr w14:val="tx1"/>
            </w14:solidFill>
          </w14:textFill>
        </w:rPr>
        <w:t>发包人有权要求承包人承担500元/日违约金，直至承包人为项目经理缴纳社会保险并向发包人提供缴纳凭证之日止。</w:t>
      </w:r>
    </w:p>
    <w:p w14:paraId="0C71445F">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项目经理未经批准，擅自离开施工现场的违约责任：</w:t>
      </w:r>
      <w:r>
        <w:rPr>
          <w:rFonts w:hint="eastAsia" w:ascii="宋体" w:hAnsi="宋体" w:cs="宋体"/>
          <w:bCs/>
          <w:color w:val="000000" w:themeColor="text1"/>
          <w:sz w:val="24"/>
          <w:highlight w:val="none"/>
          <w:u w:val="single"/>
          <w14:textFill>
            <w14:solidFill>
              <w14:schemeClr w14:val="tx1"/>
            </w14:solidFill>
          </w14:textFill>
        </w:rPr>
        <w:t>项目经理擅自离开施工场地的，应当向发包人承担2000元/次的违约金。项目经理在现场工作时间少于约定时间或不参加工地例会，发包人有权对承包人进行罚款，并有权要求撤换项目经理。</w:t>
      </w:r>
    </w:p>
    <w:p w14:paraId="1DD743A3">
      <w:pPr>
        <w:spacing w:after="120"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3.2.3 承包人擅自更换项目经理的违约责任：</w:t>
      </w:r>
      <w:r>
        <w:rPr>
          <w:rFonts w:hint="eastAsia" w:ascii="宋体" w:hAnsi="宋体" w:cs="宋体"/>
          <w:bCs/>
          <w:color w:val="000000" w:themeColor="text1"/>
          <w:sz w:val="24"/>
          <w:highlight w:val="none"/>
          <w:u w:val="single"/>
          <w14:textFill>
            <w14:solidFill>
              <w14:schemeClr w14:val="tx1"/>
            </w14:solidFill>
          </w14:textFill>
        </w:rPr>
        <w:t>承包人原则上在本项目实施期间不得更换项目经理。承包人确实因特殊原因需要更换项目经理的（发包人提出要求更换的情况除外），应至少提前30天以书面形式通知发包人。未经发包人同意，承包人不得擅自更换项目经理。若需更换项目经理需报请发包人同意方可办理相关手续（须按照招投标相关法律法规进行变更）。变更后的新任项目经理必须常驻现场管理，否则视为承包人合同违约；与发包人的所有往来文件、资料必须有项目经理本人签字、盖章，否则发包人拒绝接收、办理。承包人未按本条约定流程擅自更换项目经理，应按5万元/人次的标准向发包人支付违约金。项目经理变更须由承包人按照省市招投标相关规定，办理变更备案手续。</w:t>
      </w:r>
    </w:p>
    <w:p w14:paraId="3D92D16D">
      <w:pPr>
        <w:spacing w:after="120"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3.2.4 承包人无正当理由拒绝更换项目经理的违约责任：</w:t>
      </w:r>
      <w:r>
        <w:rPr>
          <w:rFonts w:hint="eastAsia" w:ascii="宋体" w:hAnsi="宋体" w:cs="宋体"/>
          <w:bCs/>
          <w:color w:val="000000" w:themeColor="text1"/>
          <w:sz w:val="24"/>
          <w:highlight w:val="none"/>
          <w:u w:val="single"/>
          <w14:textFill>
            <w14:solidFill>
              <w14:schemeClr w14:val="tx1"/>
            </w14:solidFill>
          </w14:textFill>
        </w:rPr>
        <w:t>视同擅自更换项目经理，违约责任同3.2.3条款。</w:t>
      </w:r>
    </w:p>
    <w:p w14:paraId="674D7C56">
      <w:pPr>
        <w:spacing w:after="120"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3.2.5 </w:t>
      </w:r>
      <w:r>
        <w:rPr>
          <w:rFonts w:hint="eastAsia" w:ascii="宋体" w:hAnsi="宋体" w:cs="宋体"/>
          <w:bCs/>
          <w:color w:val="000000" w:themeColor="text1"/>
          <w:sz w:val="24"/>
          <w:highlight w:val="none"/>
          <w:u w:val="single"/>
          <w14:textFill>
            <w14:solidFill>
              <w14:schemeClr w14:val="tx1"/>
            </w14:solidFill>
          </w14:textFill>
        </w:rPr>
        <w:t>在本项目实施期间，因不适合该工程的管理工作，发包人有权要求承包人更换项目经理，承包人应在收到发包人通知后72小时内更换符合要求的项目经理，在新的项目经理到岗前，原项目经理仍应继续履行职责。项目经理变更备案手续办理同3.2.3条规定。</w:t>
      </w:r>
    </w:p>
    <w:p w14:paraId="042977CF">
      <w:pPr>
        <w:spacing w:after="120"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3.2.6</w:t>
      </w:r>
      <w:r>
        <w:rPr>
          <w:rFonts w:hint="eastAsia" w:ascii="宋体" w:hAnsi="宋体" w:cs="宋体"/>
          <w:bCs/>
          <w:color w:val="000000" w:themeColor="text1"/>
          <w:sz w:val="24"/>
          <w:highlight w:val="none"/>
          <w:u w:val="single"/>
          <w14:textFill>
            <w14:solidFill>
              <w14:schemeClr w14:val="tx1"/>
            </w14:solidFill>
          </w14:textFill>
        </w:rPr>
        <w:t>项目经理按发包人认可的施工组织设计（施工方案）和发包人依据合同发出的指令组织施工。在情况紧急且无法与发包人代表联系时，项目经理应当采取保证人员生命和工程、财产安全的紧急措施，并在采取措施后48小时内向发包人代表和（或)工程总监送交书面报告。责任在发包人或第三人的，由发包人或第三人承担由此发生的追加合同价款，相应顺延工期；责任在承包人的，由承包人承担费用，不顺延工期。</w:t>
      </w:r>
    </w:p>
    <w:p w14:paraId="4685FF35">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3.3 承包人人员</w:t>
      </w:r>
    </w:p>
    <w:p w14:paraId="297E0D55">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3.3.1 承包人提交项目管理机构及施工现场管理人员安排报告的期限：</w:t>
      </w:r>
      <w:r>
        <w:rPr>
          <w:rFonts w:hint="eastAsia" w:ascii="宋体" w:hAnsi="宋体" w:cs="宋体"/>
          <w:bCs/>
          <w:color w:val="000000" w:themeColor="text1"/>
          <w:sz w:val="24"/>
          <w:highlight w:val="none"/>
          <w:u w:val="single"/>
          <w14:textFill>
            <w14:solidFill>
              <w14:schemeClr w14:val="tx1"/>
            </w14:solidFill>
          </w14:textFill>
        </w:rPr>
        <w:t>开工前7天。</w:t>
      </w:r>
    </w:p>
    <w:p w14:paraId="10A21381">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3.3.3 承包人无正当理由拒绝撤换主要施工管理人员的违约责任：</w:t>
      </w:r>
      <w:r>
        <w:rPr>
          <w:rFonts w:hint="eastAsia" w:ascii="宋体" w:hAnsi="宋体" w:cs="宋体"/>
          <w:bCs/>
          <w:color w:val="000000" w:themeColor="text1"/>
          <w:sz w:val="24"/>
          <w:highlight w:val="none"/>
          <w:u w:val="single"/>
          <w14:textFill>
            <w14:solidFill>
              <w14:schemeClr w14:val="tx1"/>
            </w14:solidFill>
          </w14:textFill>
        </w:rPr>
        <w:t>承担5000元/人•次的违约罚款。</w:t>
      </w:r>
    </w:p>
    <w:p w14:paraId="768053F7">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3.3.4 承包人主要施工管理人员离开施工现场的批准要求：</w:t>
      </w:r>
      <w:r>
        <w:rPr>
          <w:rFonts w:hint="eastAsia" w:ascii="宋体" w:hAnsi="宋体" w:cs="宋体"/>
          <w:bCs/>
          <w:color w:val="000000" w:themeColor="text1"/>
          <w:sz w:val="24"/>
          <w:highlight w:val="none"/>
          <w:u w:val="single"/>
          <w14:textFill>
            <w14:solidFill>
              <w14:schemeClr w14:val="tx1"/>
            </w14:solidFill>
          </w14:textFill>
        </w:rPr>
        <w:t>承包人其他管理人员须按照投标文件承诺配备，人员流动、调动时须征得发包人同意，且应提前一个月与发包人、监理单位进行沟通，确保现场工作有序衔接。</w:t>
      </w:r>
    </w:p>
    <w:p w14:paraId="1DDA8FCC">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3.3.5承包人擅自更换主要施工管理人员的违约责任：</w:t>
      </w:r>
      <w:r>
        <w:rPr>
          <w:rFonts w:hint="eastAsia" w:ascii="宋体" w:hAnsi="宋体" w:cs="宋体"/>
          <w:bCs/>
          <w:color w:val="000000" w:themeColor="text1"/>
          <w:sz w:val="24"/>
          <w:highlight w:val="none"/>
          <w:u w:val="single"/>
          <w14:textFill>
            <w14:solidFill>
              <w14:schemeClr w14:val="tx1"/>
            </w14:solidFill>
          </w14:textFill>
        </w:rPr>
        <w:t>承包人擅自更换项目部其他人员时，将承担5000元/人•次的罚款。</w:t>
      </w:r>
    </w:p>
    <w:p w14:paraId="6755F454">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承包人主要施工管理人员擅自离开施工现场的违约责任：</w:t>
      </w:r>
      <w:r>
        <w:rPr>
          <w:rFonts w:hint="eastAsia" w:ascii="宋体" w:hAnsi="宋体" w:cs="宋体"/>
          <w:bCs/>
          <w:color w:val="000000" w:themeColor="text1"/>
          <w:sz w:val="24"/>
          <w:highlight w:val="none"/>
          <w:u w:val="single"/>
          <w14:textFill>
            <w14:solidFill>
              <w14:schemeClr w14:val="tx1"/>
            </w14:solidFill>
          </w14:textFill>
        </w:rPr>
        <w:t>未经建设单位同意，主要施工管理人员擅自离开施工现场的，处以1000元/人•次的罚款。</w:t>
      </w:r>
    </w:p>
    <w:p w14:paraId="09BAADFE">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 工程照管与成品、半成品保护</w:t>
      </w:r>
    </w:p>
    <w:p w14:paraId="38ECBA37">
      <w:pPr>
        <w:spacing w:before="120" w:after="120" w:line="360" w:lineRule="auto"/>
        <w:ind w:firstLine="480" w:firstLineChars="200"/>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承包人负责照管工程及工程相关的材料、工程设备的起始时间：</w:t>
      </w:r>
      <w:r>
        <w:rPr>
          <w:rFonts w:hint="eastAsia" w:ascii="宋体" w:hAnsi="宋体" w:cs="宋体"/>
          <w:bCs/>
          <w:color w:val="000000" w:themeColor="text1"/>
          <w:kern w:val="0"/>
          <w:sz w:val="24"/>
          <w:highlight w:val="none"/>
          <w:u w:val="single"/>
          <w14:textFill>
            <w14:solidFill>
              <w14:schemeClr w14:val="tx1"/>
            </w14:solidFill>
          </w14:textFill>
        </w:rPr>
        <w:t>1）自发包人向承包人移交施工现场之日起，承包人应负责照管工程及工程相关的材料、工程设备，直到颁发工程接收证书之日止。2）在承包人负责照管期间，因承包人原因造成工程、材料、工程设备损坏的，由承包人负责修复或更换，并承担由此增加的费用和（或）延误的工期。3）对合同内分期完成的成品和半成品，在工程接收证书颁发前，由承包人承担保护责任。因承包人原因造成成品或半成品损坏的，由承包人负责修复或更换，并承担由此增加的费用和（或）延误的工期。</w:t>
      </w:r>
    </w:p>
    <w:p w14:paraId="18CE38A4">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3.9 承包人工作</w:t>
      </w:r>
    </w:p>
    <w:p w14:paraId="0BA05F50">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3.9.1承包人应按约定时间和要求，完成以下工作：</w:t>
      </w:r>
    </w:p>
    <w:p w14:paraId="681B0AD1">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（1）编制施工组织方案，按时报送开工，竣工报告。</w:t>
      </w:r>
    </w:p>
    <w:p w14:paraId="15D1942A">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（2）参加施工图会审。</w:t>
      </w:r>
    </w:p>
    <w:p w14:paraId="6398D75C">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（3）严格按照施工图精心组织施工，保证工程质量和工程进度。</w:t>
      </w:r>
    </w:p>
    <w:p w14:paraId="4F44B13C">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（4）工程竣工后按照规定提供竣工的技术资料，参加工程验收、办理工程竣工结算。</w:t>
      </w:r>
    </w:p>
    <w:p w14:paraId="59A79EC0">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（5）发生质量事故和不符合质量验收要求问题，属于乙方原因造成的，其补救措施费、返修费等损失费用由乙方自负。</w:t>
      </w:r>
    </w:p>
    <w:p w14:paraId="4823AE73">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（6）进入工地遵守现场管理的规章制度，并接受甲方质量监督。</w:t>
      </w:r>
    </w:p>
    <w:p w14:paraId="33160783">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（7）承担施工安全保卫工作及非夜间施工照明的责任和要求：根据工程需要，提供和维修非夜间施工使用的照明、围栏设施；负责施工现场安全保卫,费用已在措施费内计取,发包人不再单独支付。</w:t>
      </w:r>
    </w:p>
    <w:p w14:paraId="783A89A7">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8）需承包人办理的有关施工场地交通、环卫和施工噪音管理等手续：遵守政府有关主管部门对施工场地安全防护、文明施工、环境保护以及场地交通等的管理规定，按规定办理有关手续，并以书面形式通知发包人，费用在措施费内已计取,发包人不再单独支付。</w:t>
      </w:r>
    </w:p>
    <w:p w14:paraId="050CA047">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（9）已完工程成品保护的特殊要求及费用承担：已竣工工程未交付发包人之前，承包人负责已完工程的保护工作，保护期间发生损坏，承包人自费予以修复相关费用已在措施费内计取,发包人不再单独支付。</w:t>
      </w:r>
    </w:p>
    <w:p w14:paraId="044EFE9F">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10）施工场地周围地下管线和邻近建筑物、构筑物（含文物保护建筑）、古树名木的保护要求及费用承担：承包人负责做好施工场地地下管线和邻近建筑物、构筑物（包括文物保护建筑）、古树名木的保护工作，如因施工方法不当造成损失由承包方承担，文物和管网保护费用经监理工程师和甲方工地代表签认后由发包方承担。</w:t>
      </w:r>
    </w:p>
    <w:p w14:paraId="6BACE8CC">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（11）承包人产生的建筑垃圾和生活垃圾清运工作由承包人负责，费用由承包人承担。</w:t>
      </w:r>
    </w:p>
    <w:p w14:paraId="5FCFC670">
      <w:pPr>
        <w:pStyle w:val="4"/>
        <w:spacing w:line="360" w:lineRule="auto"/>
        <w:ind w:firstLine="480" w:firstLineChars="200"/>
        <w:rPr>
          <w:bCs/>
          <w:color w:val="000000" w:themeColor="text1"/>
          <w:sz w:val="24"/>
          <w:highlight w:val="none"/>
          <w:u w:val="single"/>
          <w14:textFill>
            <w14:solidFill>
              <w14:schemeClr w14:val="tx1"/>
            </w14:solidFill>
          </w14:textFill>
        </w:rPr>
      </w:pPr>
      <w:r>
        <w:rPr>
          <w:rFonts w:hint="eastAsia"/>
          <w:bCs/>
          <w:color w:val="000000" w:themeColor="text1"/>
          <w:sz w:val="24"/>
          <w:highlight w:val="none"/>
          <w:u w:val="single"/>
          <w14:textFill>
            <w14:solidFill>
              <w14:schemeClr w14:val="tx1"/>
            </w14:solidFill>
          </w14:textFill>
        </w:rPr>
        <w:t>（1</w:t>
      </w:r>
      <w:r>
        <w:rPr>
          <w:bCs/>
          <w:color w:val="000000" w:themeColor="text1"/>
          <w:sz w:val="24"/>
          <w:highlight w:val="none"/>
          <w:u w:val="single"/>
          <w14:textFill>
            <w14:solidFill>
              <w14:schemeClr w14:val="tx1"/>
            </w14:solidFill>
          </w14:textFill>
        </w:rPr>
        <w:t>2</w:t>
      </w:r>
      <w:r>
        <w:rPr>
          <w:rFonts w:hint="eastAsia"/>
          <w:bCs/>
          <w:color w:val="000000" w:themeColor="text1"/>
          <w:sz w:val="24"/>
          <w:highlight w:val="none"/>
          <w:u w:val="single"/>
          <w14:textFill>
            <w14:solidFill>
              <w14:schemeClr w14:val="tx1"/>
            </w14:solidFill>
          </w14:textFill>
        </w:rPr>
        <w:t>）负责办理工程范围内有关占地挖沟、坑、跨越通讯、上下水、热水管、马路、树木剪伐的审批手续等。</w:t>
      </w:r>
    </w:p>
    <w:p w14:paraId="0D1B5BC6">
      <w:pPr>
        <w:spacing w:line="360" w:lineRule="auto"/>
        <w:ind w:firstLine="480"/>
        <w:rPr>
          <w:rFonts w:ascii="宋体" w:hAnsi="宋体" w:cs="宋体"/>
          <w:color w:val="000000" w:themeColor="text1"/>
          <w:sz w:val="24"/>
          <w:highlight w:val="none"/>
          <w14:textFill>
            <w14:solidFill>
              <w14:schemeClr w14:val="tx1"/>
            </w14:solidFill>
          </w14:textFill>
        </w:rPr>
      </w:pPr>
      <w:bookmarkStart w:id="59" w:name="_Toc351203636"/>
      <w:r>
        <w:rPr>
          <w:rFonts w:hint="eastAsia" w:ascii="宋体" w:hAnsi="宋体" w:cs="宋体"/>
          <w:color w:val="000000" w:themeColor="text1"/>
          <w:sz w:val="24"/>
          <w:highlight w:val="none"/>
          <w14:textFill>
            <w14:solidFill>
              <w14:schemeClr w14:val="tx1"/>
            </w14:solidFill>
          </w14:textFill>
        </w:rPr>
        <w:t>4</w:t>
      </w:r>
      <w:bookmarkStart w:id="60" w:name="_Toc296890990"/>
      <w:bookmarkStart w:id="61" w:name="_Toc296503162"/>
      <w:bookmarkStart w:id="62" w:name="_Toc296944501"/>
      <w:bookmarkStart w:id="63" w:name="_Toc296346663"/>
      <w:bookmarkStart w:id="64" w:name="_Toc296891202"/>
      <w:bookmarkStart w:id="65" w:name="_Toc267251413"/>
      <w:bookmarkStart w:id="66" w:name="_Toc296347161"/>
      <w:bookmarkStart w:id="67" w:name="_Toc292559871"/>
      <w:bookmarkStart w:id="68" w:name="_Toc297048348"/>
      <w:bookmarkStart w:id="69" w:name="_Toc297120462"/>
      <w:bookmarkStart w:id="70" w:name="_Toc292559366"/>
      <w:r>
        <w:rPr>
          <w:rFonts w:hint="eastAsia" w:ascii="宋体" w:hAnsi="宋体" w:cs="宋体"/>
          <w:color w:val="000000" w:themeColor="text1"/>
          <w:sz w:val="24"/>
          <w:highlight w:val="none"/>
          <w14:textFill>
            <w14:solidFill>
              <w14:schemeClr w14:val="tx1"/>
            </w14:solidFill>
          </w14:textFill>
        </w:rPr>
        <w:t>.监</w:t>
      </w:r>
      <w:bookmarkEnd w:id="60"/>
      <w:bookmarkEnd w:id="61"/>
      <w:bookmarkEnd w:id="62"/>
      <w:bookmarkEnd w:id="63"/>
      <w:bookmarkEnd w:id="64"/>
      <w:bookmarkEnd w:id="65"/>
      <w:bookmarkEnd w:id="66"/>
      <w:bookmarkEnd w:id="67"/>
      <w:bookmarkEnd w:id="68"/>
      <w:bookmarkEnd w:id="69"/>
      <w:bookmarkEnd w:id="70"/>
      <w:r>
        <w:rPr>
          <w:rFonts w:hint="eastAsia" w:ascii="宋体" w:hAnsi="宋体" w:cs="宋体"/>
          <w:color w:val="000000" w:themeColor="text1"/>
          <w:sz w:val="24"/>
          <w:highlight w:val="none"/>
          <w14:textFill>
            <w14:solidFill>
              <w14:schemeClr w14:val="tx1"/>
            </w14:solidFill>
          </w14:textFill>
        </w:rPr>
        <w:t>理人</w:t>
      </w:r>
      <w:bookmarkEnd w:id="59"/>
    </w:p>
    <w:p w14:paraId="58380D76">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4.1监理人的一般规定</w:t>
      </w:r>
    </w:p>
    <w:p w14:paraId="3B655F2B">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关于监理人的监理内容：</w:t>
      </w:r>
      <w:r>
        <w:rPr>
          <w:rFonts w:hint="eastAsia" w:ascii="宋体" w:hAnsi="宋体" w:cs="宋体"/>
          <w:bCs/>
          <w:color w:val="000000" w:themeColor="text1"/>
          <w:sz w:val="24"/>
          <w:highlight w:val="none"/>
          <w:u w:val="single"/>
          <w14:textFill>
            <w14:solidFill>
              <w14:schemeClr w14:val="tx1"/>
            </w14:solidFill>
          </w14:textFill>
        </w:rPr>
        <w:t xml:space="preserve">  执行发包人与监理人监理合同规条款约定 </w:t>
      </w:r>
      <w:r>
        <w:rPr>
          <w:rFonts w:hint="eastAsia" w:ascii="宋体" w:hAnsi="宋体" w:cs="宋体"/>
          <w:bCs/>
          <w:color w:val="000000" w:themeColor="text1"/>
          <w:sz w:val="24"/>
          <w:highlight w:val="none"/>
          <w14:textFill>
            <w14:solidFill>
              <w14:schemeClr w14:val="tx1"/>
            </w14:solidFill>
          </w14:textFill>
        </w:rPr>
        <w:t>。</w:t>
      </w:r>
    </w:p>
    <w:p w14:paraId="26AF66DE">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关于监理人的监理权限：</w:t>
      </w:r>
      <w:r>
        <w:rPr>
          <w:rFonts w:hint="eastAsia" w:ascii="宋体" w:hAnsi="宋体" w:cs="宋体"/>
          <w:bCs/>
          <w:color w:val="000000" w:themeColor="text1"/>
          <w:sz w:val="24"/>
          <w:highlight w:val="none"/>
          <w:u w:val="single"/>
          <w14:textFill>
            <w14:solidFill>
              <w14:schemeClr w14:val="tx1"/>
            </w14:solidFill>
          </w14:textFill>
        </w:rPr>
        <w:t xml:space="preserve">  工程质量控制、工程进度控制、造价控制、合同管理、工程档案及信息管理、施工现场的安全文明施工管理及依据监理合同约定所应当享有的职权。</w:t>
      </w:r>
      <w:r>
        <w:rPr>
          <w:rFonts w:hint="eastAsia" w:ascii="宋体" w:hAnsi="宋体" w:cs="宋体"/>
          <w:bCs/>
          <w:color w:val="000000" w:themeColor="text1"/>
          <w:sz w:val="24"/>
          <w:highlight w:val="none"/>
          <w14:textFill>
            <w14:solidFill>
              <w14:schemeClr w14:val="tx1"/>
            </w14:solidFill>
          </w14:textFill>
        </w:rPr>
        <w:t xml:space="preserve"> </w:t>
      </w:r>
    </w:p>
    <w:p w14:paraId="674D4CAF">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需要取得发包人批准才能行使的职权：</w:t>
      </w:r>
      <w:r>
        <w:rPr>
          <w:rFonts w:hint="eastAsia" w:ascii="宋体" w:hAnsi="宋体" w:cs="宋体"/>
          <w:bCs/>
          <w:color w:val="000000" w:themeColor="text1"/>
          <w:sz w:val="24"/>
          <w:highlight w:val="none"/>
          <w:u w:val="single"/>
          <w14:textFill>
            <w14:solidFill>
              <w14:schemeClr w14:val="tx1"/>
            </w14:solidFill>
          </w14:textFill>
        </w:rPr>
        <w:t>停工与复工、工程变更及签证、建筑材料与设备的选用（及认质认价）及依据监理合同约定应当经发包人批准的事项。</w:t>
      </w:r>
    </w:p>
    <w:p w14:paraId="518BC9E6">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4.2 监理人员</w:t>
      </w:r>
    </w:p>
    <w:p w14:paraId="59312765">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总监理工程师：</w:t>
      </w:r>
    </w:p>
    <w:p w14:paraId="218D472C">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0EE8C22D">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职    务：</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055E2350">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3862A3DA">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电子信箱：</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3FCF53C1">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通信地址：</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41364B2C">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关于监理人的其他约定：</w:t>
      </w:r>
      <w:r>
        <w:rPr>
          <w:rFonts w:hint="eastAsia" w:ascii="宋体" w:hAnsi="宋体" w:cs="宋体"/>
          <w:bCs/>
          <w:color w:val="000000" w:themeColor="text1"/>
          <w:sz w:val="24"/>
          <w:highlight w:val="none"/>
          <w:u w:val="single"/>
          <w14:textFill>
            <w14:solidFill>
              <w14:schemeClr w14:val="tx1"/>
            </w14:solidFill>
          </w14:textFill>
        </w:rPr>
        <w:t>  / </w:t>
      </w:r>
      <w:r>
        <w:rPr>
          <w:rFonts w:hint="eastAsia" w:ascii="宋体" w:hAnsi="宋体" w:cs="宋体"/>
          <w:bCs/>
          <w:color w:val="000000" w:themeColor="text1"/>
          <w:sz w:val="24"/>
          <w:highlight w:val="none"/>
          <w14:textFill>
            <w14:solidFill>
              <w14:schemeClr w14:val="tx1"/>
            </w14:solidFill>
          </w14:textFill>
        </w:rPr>
        <w:t>。</w:t>
      </w:r>
    </w:p>
    <w:p w14:paraId="6B2ECD5F">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4.4 商定或确定</w:t>
      </w:r>
    </w:p>
    <w:p w14:paraId="06E4F48F">
      <w:pPr>
        <w:spacing w:line="360" w:lineRule="auto"/>
        <w:ind w:firstLine="480" w:firstLineChars="200"/>
        <w:rPr>
          <w:rFonts w:ascii="宋体" w:hAnsi="宋体" w:cs="宋体"/>
          <w:bCs/>
          <w:color w:val="000000" w:themeColor="text1"/>
          <w:kern w:val="0"/>
          <w:sz w:val="24"/>
          <w:highlight w:val="none"/>
          <w14:textFill>
            <w14:solidFill>
              <w14:schemeClr w14:val="tx1"/>
            </w14:solidFill>
          </w14:textFill>
        </w:rPr>
      </w:pPr>
      <w:bookmarkStart w:id="71" w:name="_Toc267251418"/>
      <w:r>
        <w:rPr>
          <w:rFonts w:hint="eastAsia" w:ascii="宋体" w:hAnsi="宋体" w:cs="宋体"/>
          <w:bCs/>
          <w:color w:val="000000" w:themeColor="text1"/>
          <w:sz w:val="24"/>
          <w:highlight w:val="none"/>
          <w14:textFill>
            <w14:solidFill>
              <w14:schemeClr w14:val="tx1"/>
            </w14:solidFill>
          </w14:textFill>
        </w:rPr>
        <w:t>在发包人和承包人不能通过协商达成一致意见时，发包人授权监理人对以下事项进行确定：</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237975B7">
      <w:pPr>
        <w:spacing w:line="360" w:lineRule="auto"/>
        <w:ind w:firstLine="480"/>
        <w:rPr>
          <w:rFonts w:ascii="宋体" w:hAnsi="宋体" w:cs="宋体"/>
          <w:color w:val="000000" w:themeColor="text1"/>
          <w:sz w:val="24"/>
          <w:highlight w:val="none"/>
          <w14:textFill>
            <w14:solidFill>
              <w14:schemeClr w14:val="tx1"/>
            </w14:solidFill>
          </w14:textFill>
        </w:rPr>
      </w:pPr>
      <w:bookmarkStart w:id="72" w:name="_Toc351203637"/>
      <w:r>
        <w:rPr>
          <w:rFonts w:hint="eastAsia" w:ascii="宋体" w:hAnsi="宋体" w:cs="宋体"/>
          <w:color w:val="000000" w:themeColor="text1"/>
          <w:sz w:val="24"/>
          <w:highlight w:val="none"/>
          <w14:textFill>
            <w14:solidFill>
              <w14:schemeClr w14:val="tx1"/>
            </w14:solidFill>
          </w14:textFill>
        </w:rPr>
        <w:t>5</w:t>
      </w:r>
      <w:bookmarkEnd w:id="71"/>
      <w:bookmarkStart w:id="73" w:name="_Toc292559367"/>
      <w:bookmarkStart w:id="74" w:name="_Toc296346664"/>
      <w:bookmarkStart w:id="75" w:name="_Toc296503163"/>
      <w:bookmarkStart w:id="76" w:name="_Toc297048349"/>
      <w:bookmarkStart w:id="77" w:name="_Toc296944502"/>
      <w:bookmarkStart w:id="78" w:name="_Toc297120463"/>
      <w:bookmarkStart w:id="79" w:name="_Toc296890991"/>
      <w:bookmarkStart w:id="80" w:name="_Toc296347162"/>
      <w:bookmarkStart w:id="81" w:name="_Toc296891203"/>
      <w:bookmarkStart w:id="82" w:name="_Toc292559872"/>
      <w:r>
        <w:rPr>
          <w:rFonts w:hint="eastAsia" w:ascii="宋体" w:hAnsi="宋体" w:cs="宋体"/>
          <w:color w:val="000000" w:themeColor="text1"/>
          <w:sz w:val="24"/>
          <w:highlight w:val="none"/>
          <w14:textFill>
            <w14:solidFill>
              <w14:schemeClr w14:val="tx1"/>
            </w14:solidFill>
          </w14:textFill>
        </w:rPr>
        <w:t>. 工程质量</w:t>
      </w:r>
      <w:bookmarkEnd w:id="72"/>
    </w:p>
    <w:p w14:paraId="62EE31A7">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5.1 质量要求</w:t>
      </w:r>
    </w:p>
    <w:p w14:paraId="386486B6">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5</w:t>
      </w:r>
      <w:bookmarkStart w:id="83" w:name="_Toc303539106"/>
      <w:bookmarkStart w:id="84" w:name="_Toc312677997"/>
      <w:bookmarkStart w:id="85" w:name="_Toc304295527"/>
      <w:bookmarkStart w:id="86" w:name="_Toc318581164"/>
      <w:bookmarkStart w:id="87" w:name="_Toc297216155"/>
      <w:bookmarkStart w:id="88" w:name="_Toc300934949"/>
      <w:bookmarkStart w:id="89" w:name="_Toc297123496"/>
      <w:r>
        <w:rPr>
          <w:rFonts w:hint="eastAsia" w:ascii="宋体" w:hAnsi="宋体" w:cs="宋体"/>
          <w:bCs/>
          <w:color w:val="000000" w:themeColor="text1"/>
          <w:sz w:val="24"/>
          <w:highlight w:val="none"/>
          <w14:textFill>
            <w14:solidFill>
              <w14:schemeClr w14:val="tx1"/>
            </w14:solidFill>
          </w14:textFill>
        </w:rPr>
        <w:t>.1.1 特殊质量标准和要求：</w:t>
      </w:r>
      <w:r>
        <w:rPr>
          <w:rFonts w:hint="eastAsia" w:ascii="宋体" w:hAnsi="宋体" w:cs="宋体"/>
          <w:bCs/>
          <w:color w:val="000000" w:themeColor="text1"/>
          <w:sz w:val="24"/>
          <w:highlight w:val="none"/>
          <w:u w:val="single"/>
          <w14:textFill>
            <w14:solidFill>
              <w14:schemeClr w14:val="tx1"/>
            </w14:solidFill>
          </w14:textFill>
        </w:rPr>
        <w:t>承包人应认真按照国家颁发的施工验收规范及本工程设计图纸要求进行施工，并应接受发包人或委派人员的检查、检验，承包人应为发包人及委派人员检查提供便利条件，对不合格的部分按发包人及委派人员的要求返工修改，承担由自身原因导致返工修改的费用。若因承包人原因导致工程质量未达到合格标准，则承包人承担合同价款1%的违约处罚，并负责整改直至达到合格标准</w:t>
      </w:r>
      <w:r>
        <w:rPr>
          <w:rFonts w:hint="eastAsia" w:ascii="宋体" w:hAnsi="宋体" w:cs="宋体"/>
          <w:bCs/>
          <w:color w:val="000000" w:themeColor="text1"/>
          <w:sz w:val="24"/>
          <w:highlight w:val="none"/>
          <w14:textFill>
            <w14:solidFill>
              <w14:schemeClr w14:val="tx1"/>
            </w14:solidFill>
          </w14:textFill>
        </w:rPr>
        <w:t>。</w:t>
      </w:r>
    </w:p>
    <w:p w14:paraId="0EFA8276">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关于工程奖项的约定：</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5B38B34F">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5.3 隐蔽工程检查</w:t>
      </w:r>
    </w:p>
    <w:p w14:paraId="2001F6F3">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5.3.2承包人提前通知监理人隐蔽工程检查的期限的约定：</w:t>
      </w:r>
      <w:r>
        <w:rPr>
          <w:rFonts w:hint="eastAsia" w:ascii="宋体" w:hAnsi="宋体" w:cs="宋体"/>
          <w:bCs/>
          <w:color w:val="000000" w:themeColor="text1"/>
          <w:sz w:val="24"/>
          <w:highlight w:val="none"/>
          <w:u w:val="single"/>
          <w14:textFill>
            <w14:solidFill>
              <w14:schemeClr w14:val="tx1"/>
            </w14:solidFill>
          </w14:textFill>
        </w:rPr>
        <w:t>未经监理和发包人代表批准，承包人所施工的任何隐蔽工程均不能实施覆盖，当承包人施工的隐蔽工程已自检合格具备验收条件时，承包人必须提前24小时书面通知监理和发包人代表，通知包括隐蔽的内容、地点、申请验收的时间，由监理组织有关人员对该部分工程进行检验，检验合格后，再报请发包人进行隐蔽验收。</w:t>
      </w:r>
    </w:p>
    <w:p w14:paraId="11AC06A0">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监理人不能按时进行检查时，应提前</w:t>
      </w:r>
      <w:r>
        <w:rPr>
          <w:rFonts w:hint="eastAsia" w:ascii="宋体" w:hAnsi="宋体" w:cs="宋体"/>
          <w:bCs/>
          <w:color w:val="000000" w:themeColor="text1"/>
          <w:sz w:val="24"/>
          <w:highlight w:val="none"/>
          <w:u w:val="single"/>
          <w14:textFill>
            <w14:solidFill>
              <w14:schemeClr w14:val="tx1"/>
            </w14:solidFill>
          </w14:textFill>
        </w:rPr>
        <w:t xml:space="preserve">  24  </w:t>
      </w:r>
      <w:r>
        <w:rPr>
          <w:rFonts w:hint="eastAsia" w:ascii="宋体" w:hAnsi="宋体" w:cs="宋体"/>
          <w:bCs/>
          <w:color w:val="000000" w:themeColor="text1"/>
          <w:sz w:val="24"/>
          <w:highlight w:val="none"/>
          <w14:textFill>
            <w14:solidFill>
              <w14:schemeClr w14:val="tx1"/>
            </w14:solidFill>
          </w14:textFill>
        </w:rPr>
        <w:t>小时提交书面延期要求。</w:t>
      </w:r>
    </w:p>
    <w:p w14:paraId="32D98848">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关于延期最长不得超过：</w:t>
      </w:r>
      <w:r>
        <w:rPr>
          <w:rFonts w:hint="eastAsia" w:ascii="宋体" w:hAnsi="宋体" w:cs="宋体"/>
          <w:bCs/>
          <w:color w:val="000000" w:themeColor="text1"/>
          <w:sz w:val="24"/>
          <w:highlight w:val="none"/>
          <w:u w:val="single"/>
          <w14:textFill>
            <w14:solidFill>
              <w14:schemeClr w14:val="tx1"/>
            </w14:solidFill>
          </w14:textFill>
        </w:rPr>
        <w:t xml:space="preserve">  48  </w:t>
      </w:r>
      <w:r>
        <w:rPr>
          <w:rFonts w:hint="eastAsia" w:ascii="宋体" w:hAnsi="宋体" w:cs="宋体"/>
          <w:bCs/>
          <w:color w:val="000000" w:themeColor="text1"/>
          <w:sz w:val="24"/>
          <w:highlight w:val="none"/>
          <w14:textFill>
            <w14:solidFill>
              <w14:schemeClr w14:val="tx1"/>
            </w14:solidFill>
          </w14:textFill>
        </w:rPr>
        <w:t>小时。</w:t>
      </w:r>
    </w:p>
    <w:p w14:paraId="4D68F752">
      <w:pPr>
        <w:spacing w:line="360" w:lineRule="auto"/>
        <w:ind w:firstLine="480"/>
        <w:rPr>
          <w:rFonts w:ascii="宋体" w:hAnsi="宋体" w:cs="宋体"/>
          <w:color w:val="000000" w:themeColor="text1"/>
          <w:sz w:val="24"/>
          <w:highlight w:val="none"/>
          <w14:textFill>
            <w14:solidFill>
              <w14:schemeClr w14:val="tx1"/>
            </w14:solidFill>
          </w14:textFill>
        </w:rPr>
      </w:pPr>
      <w:bookmarkStart w:id="90" w:name="_Toc351203638"/>
      <w:r>
        <w:rPr>
          <w:rFonts w:hint="eastAsia" w:ascii="宋体" w:hAnsi="宋体" w:cs="宋体"/>
          <w:color w:val="000000" w:themeColor="text1"/>
          <w:sz w:val="24"/>
          <w:highlight w:val="none"/>
          <w14:textFill>
            <w14:solidFill>
              <w14:schemeClr w14:val="tx1"/>
            </w14:solidFill>
          </w14:textFill>
        </w:rPr>
        <w:t>6. 安全文明施工与环境保护</w:t>
      </w:r>
      <w:bookmarkEnd w:id="90"/>
    </w:p>
    <w:p w14:paraId="603919A8">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6.1安全文明施工</w:t>
      </w:r>
    </w:p>
    <w:p w14:paraId="1E27883B">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6.1.1 项目安全生产的达标目标及相应事项的约定：</w:t>
      </w:r>
      <w:r>
        <w:rPr>
          <w:rFonts w:hint="eastAsia" w:ascii="宋体" w:hAnsi="宋体" w:cs="宋体"/>
          <w:bCs/>
          <w:color w:val="000000" w:themeColor="text1"/>
          <w:sz w:val="24"/>
          <w:highlight w:val="none"/>
          <w:u w:val="single"/>
          <w14:textFill>
            <w14:solidFill>
              <w14:schemeClr w14:val="tx1"/>
            </w14:solidFill>
          </w14:textFill>
        </w:rPr>
        <w:t>1）杜绝重伤死亡事故；轻伤负伤率小于1.5‰；2）杜绝重大机械事故；3）杜绝急性职业中毒，严重环境污染，特大辐射事故；4）杜绝火灾事故；5）控制噪声、粉尘、渣土对环境的污染，做到施工不扰民，不影响办公和会议；6）达到文明工地评定标准，不影响发包人市级文明工地评定。</w:t>
      </w:r>
    </w:p>
    <w:p w14:paraId="422791D4">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6.1.5 文明施工</w:t>
      </w:r>
    </w:p>
    <w:p w14:paraId="6F849F19">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合同当事人对文明施工的要求：</w:t>
      </w:r>
      <w:r>
        <w:rPr>
          <w:rFonts w:hint="eastAsia" w:ascii="宋体" w:hAnsi="宋体" w:cs="宋体"/>
          <w:bCs/>
          <w:color w:val="000000" w:themeColor="text1"/>
          <w:sz w:val="24"/>
          <w:highlight w:val="none"/>
          <w:u w:val="single"/>
          <w14:textFill>
            <w14:solidFill>
              <w14:schemeClr w14:val="tx1"/>
            </w14:solidFill>
          </w14:textFill>
        </w:rPr>
        <w:t>执行《通用条款》和国家、陕西省以及西安市关于安全文明施工的要求规定。承包人应严格遵守安全文明施工管理规定，确保安全文明施工措施的投入，如果经政府相关部门验收安全文明施工达不到合格标准或不按照安全文明施工要求配置相应的安全文明施工设施，发包人有权对承包人扣除其安全文明施工费用。施工期间发生的一切安全事故均由承包人承担责任和费用。</w:t>
      </w:r>
    </w:p>
    <w:p w14:paraId="70664D44">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6.1.6 安全防护、文明施工措施费用的支付比例和时间：</w:t>
      </w:r>
      <w:r>
        <w:rPr>
          <w:rFonts w:hint="eastAsia" w:ascii="宋体" w:hAnsi="宋体" w:cs="宋体"/>
          <w:bCs/>
          <w:color w:val="000000" w:themeColor="text1"/>
          <w:sz w:val="24"/>
          <w:highlight w:val="none"/>
          <w:u w:val="single"/>
          <w14:textFill>
            <w14:solidFill>
              <w14:schemeClr w14:val="tx1"/>
            </w14:solidFill>
          </w14:textFill>
        </w:rPr>
        <w:t>安全防护、文明施工措施费于合同签订后30天内一次性支付给承包人。</w:t>
      </w:r>
    </w:p>
    <w:bookmarkEnd w:id="83"/>
    <w:bookmarkEnd w:id="84"/>
    <w:bookmarkEnd w:id="85"/>
    <w:bookmarkEnd w:id="86"/>
    <w:bookmarkEnd w:id="87"/>
    <w:bookmarkEnd w:id="88"/>
    <w:bookmarkEnd w:id="89"/>
    <w:p w14:paraId="63D5E06C">
      <w:pPr>
        <w:spacing w:line="360" w:lineRule="auto"/>
        <w:ind w:firstLine="480"/>
        <w:rPr>
          <w:rFonts w:ascii="宋体" w:hAnsi="宋体" w:cs="宋体"/>
          <w:color w:val="000000" w:themeColor="text1"/>
          <w:sz w:val="24"/>
          <w:highlight w:val="none"/>
          <w14:textFill>
            <w14:solidFill>
              <w14:schemeClr w14:val="tx1"/>
            </w14:solidFill>
          </w14:textFill>
        </w:rPr>
      </w:pPr>
      <w:bookmarkStart w:id="91" w:name="_Toc351203639"/>
      <w:r>
        <w:rPr>
          <w:rFonts w:hint="eastAsia" w:ascii="宋体" w:hAnsi="宋体" w:cs="宋体"/>
          <w:color w:val="000000" w:themeColor="text1"/>
          <w:sz w:val="24"/>
          <w:highlight w:val="none"/>
          <w14:textFill>
            <w14:solidFill>
              <w14:schemeClr w14:val="tx1"/>
            </w14:solidFill>
          </w14:textFill>
        </w:rPr>
        <w:t>7. 工期和进度</w:t>
      </w:r>
      <w:bookmarkEnd w:id="91"/>
    </w:p>
    <w:p w14:paraId="1AFC12FA">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7.1 施工组织设计</w:t>
      </w:r>
    </w:p>
    <w:p w14:paraId="07E94250">
      <w:pPr>
        <w:autoSpaceDE w:val="0"/>
        <w:autoSpaceDN w:val="0"/>
        <w:adjustRightInd w:val="0"/>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7.1.1 合</w:t>
      </w:r>
      <w:r>
        <w:rPr>
          <w:rFonts w:hint="eastAsia" w:ascii="宋体" w:hAnsi="宋体" w:cs="宋体"/>
          <w:bCs/>
          <w:color w:val="000000" w:themeColor="text1"/>
          <w:kern w:val="0"/>
          <w:sz w:val="24"/>
          <w:highlight w:val="none"/>
          <w14:textFill>
            <w14:solidFill>
              <w14:schemeClr w14:val="tx1"/>
            </w14:solidFill>
          </w14:textFill>
        </w:rPr>
        <w:t>同当事人约定的施工组织设计应包括的其他内容：</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7D4ACB8E">
      <w:pPr>
        <w:autoSpaceDE w:val="0"/>
        <w:autoSpaceDN w:val="0"/>
        <w:adjustRightInd w:val="0"/>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7.1.2 </w:t>
      </w:r>
      <w:r>
        <w:rPr>
          <w:rFonts w:hint="eastAsia" w:ascii="宋体" w:hAnsi="宋体" w:cs="宋体"/>
          <w:bCs/>
          <w:color w:val="000000" w:themeColor="text1"/>
          <w:kern w:val="0"/>
          <w:sz w:val="24"/>
          <w:highlight w:val="none"/>
          <w14:textFill>
            <w14:solidFill>
              <w14:schemeClr w14:val="tx1"/>
            </w14:solidFill>
          </w14:textFill>
        </w:rPr>
        <w:t>施工组织设计的提交和修改</w:t>
      </w:r>
    </w:p>
    <w:p w14:paraId="14B2448D">
      <w:pPr>
        <w:autoSpaceDE w:val="0"/>
        <w:autoSpaceDN w:val="0"/>
        <w:adjustRightInd w:val="0"/>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承包人提交详细施工组织设计的期限的约定：</w:t>
      </w:r>
      <w:r>
        <w:rPr>
          <w:rFonts w:hint="eastAsia" w:ascii="宋体" w:hAnsi="宋体" w:cs="宋体"/>
          <w:bCs/>
          <w:color w:val="000000" w:themeColor="text1"/>
          <w:sz w:val="24"/>
          <w:highlight w:val="none"/>
          <w:u w:val="single"/>
          <w14:textFill>
            <w14:solidFill>
              <w14:schemeClr w14:val="tx1"/>
            </w14:solidFill>
          </w14:textFill>
        </w:rPr>
        <w:t>在工程开工14天前，承包人向发包人及监理提交符合工程实际情况的施工组织设计和工程进度计划，详细说明整个工程的总进度计划、劳动力计划、机械设备进场计划、材料计划、需配合的事项、可能遇到的不利因素及相应的措施等，承包人必须按监理工程师确认的进度计划组织施工，接受监理工程师对进度的检查和监督；在每月22日前提供当月进度统计报表和下月进度计划表，在施工过程中，因承包人的原因导致工程实际进度与经确认的施工组织设计和工程进度不符时，承包人应按现场监理工程师的要求提出改进措施，经监理工程师确认后执行，采取改进措施额外产生的费用由承包人承担。</w:t>
      </w:r>
    </w:p>
    <w:p w14:paraId="5C5A4C01">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发包人和监理人在收到详细的施工组织设计后确认或提出修改意见的期限：</w:t>
      </w:r>
      <w:r>
        <w:rPr>
          <w:rFonts w:hint="eastAsia" w:ascii="宋体" w:hAnsi="宋体" w:cs="宋体"/>
          <w:bCs/>
          <w:color w:val="000000" w:themeColor="text1"/>
          <w:sz w:val="24"/>
          <w:highlight w:val="none"/>
          <w:u w:val="single"/>
          <w14:textFill>
            <w14:solidFill>
              <w14:schemeClr w14:val="tx1"/>
            </w14:solidFill>
          </w14:textFill>
        </w:rPr>
        <w:t>监理人应按协议条款约定的时间（7天内）予以批准或提出修改意见，逾期不批复，可视为该施工组织设计和进度计划已经批准。</w:t>
      </w:r>
    </w:p>
    <w:p w14:paraId="2C83C0D4">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w:t>
      </w:r>
      <w:bookmarkStart w:id="92" w:name="_Toc312677479"/>
      <w:bookmarkStart w:id="93" w:name="_Toc304295541"/>
      <w:bookmarkStart w:id="94" w:name="_Toc297216173"/>
      <w:bookmarkStart w:id="95" w:name="_Toc300934966"/>
      <w:bookmarkStart w:id="96" w:name="_Toc312678005"/>
      <w:bookmarkStart w:id="97" w:name="_Toc297123514"/>
      <w:bookmarkStart w:id="98" w:name="_Toc303539123"/>
      <w:r>
        <w:rPr>
          <w:rFonts w:hint="eastAsia" w:ascii="宋体" w:hAnsi="宋体" w:cs="宋体"/>
          <w:bCs/>
          <w:color w:val="000000" w:themeColor="text1"/>
          <w:sz w:val="24"/>
          <w:highlight w:val="none"/>
          <w14:textFill>
            <w14:solidFill>
              <w14:schemeClr w14:val="tx1"/>
            </w14:solidFill>
          </w14:textFill>
        </w:rPr>
        <w:t>.2 施工进度计划</w:t>
      </w:r>
    </w:p>
    <w:p w14:paraId="1688D089">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7.2.2 施工进度计划的修订</w:t>
      </w:r>
    </w:p>
    <w:p w14:paraId="021008A7">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发包人和监理人在收到修订的施工进度计划后确认或提出修改意见的期限：</w:t>
      </w:r>
      <w:r>
        <w:rPr>
          <w:rFonts w:hint="eastAsia" w:ascii="宋体" w:hAnsi="宋体" w:cs="宋体"/>
          <w:bCs/>
          <w:color w:val="000000" w:themeColor="text1"/>
          <w:sz w:val="24"/>
          <w:highlight w:val="none"/>
          <w:u w:val="single"/>
          <w14:textFill>
            <w14:solidFill>
              <w14:schemeClr w14:val="tx1"/>
            </w14:solidFill>
          </w14:textFill>
        </w:rPr>
        <w:t xml:space="preserve"> 3天内 </w:t>
      </w:r>
      <w:r>
        <w:rPr>
          <w:rFonts w:hint="eastAsia" w:ascii="宋体" w:hAnsi="宋体" w:cs="宋体"/>
          <w:bCs/>
          <w:color w:val="000000" w:themeColor="text1"/>
          <w:sz w:val="24"/>
          <w:highlight w:val="none"/>
          <w14:textFill>
            <w14:solidFill>
              <w14:schemeClr w14:val="tx1"/>
            </w14:solidFill>
          </w14:textFill>
        </w:rPr>
        <w:t>。</w:t>
      </w:r>
    </w:p>
    <w:p w14:paraId="78F39FE0">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7.3 开工</w:t>
      </w:r>
    </w:p>
    <w:p w14:paraId="7C565D06">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7.3.1 开工准备</w:t>
      </w:r>
    </w:p>
    <w:p w14:paraId="54F3CEFA">
      <w:pPr>
        <w:spacing w:line="360" w:lineRule="auto"/>
        <w:ind w:firstLine="645"/>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关于承包人提交</w:t>
      </w:r>
      <w:r>
        <w:rPr>
          <w:rFonts w:hint="eastAsia" w:ascii="宋体" w:hAnsi="宋体" w:cs="宋体"/>
          <w:bCs/>
          <w:color w:val="000000" w:themeColor="text1"/>
          <w:kern w:val="0"/>
          <w:sz w:val="24"/>
          <w:highlight w:val="none"/>
          <w14:textFill>
            <w14:solidFill>
              <w14:schemeClr w14:val="tx1"/>
            </w14:solidFill>
          </w14:textFill>
        </w:rPr>
        <w:t>工程开工报审表的期限：</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u w:val="single"/>
          <w:shd w:val="clear" w:color="auto" w:fill="FFFFFF"/>
          <w14:textFill>
            <w14:solidFill>
              <w14:schemeClr w14:val="tx1"/>
            </w14:solidFill>
          </w14:textFill>
        </w:rPr>
        <w:t>开工前7天</w:t>
      </w:r>
      <w:r>
        <w:rPr>
          <w:rFonts w:hint="eastAsia" w:ascii="宋体" w:hAnsi="宋体" w:cs="宋体"/>
          <w:bCs/>
          <w:color w:val="000000" w:themeColor="text1"/>
          <w:sz w:val="24"/>
          <w:highlight w:val="none"/>
          <w:u w:val="single"/>
          <w14:textFill>
            <w14:solidFill>
              <w14:schemeClr w14:val="tx1"/>
            </w14:solidFill>
          </w14:textFill>
        </w:rPr>
        <w:t xml:space="preserve"> 。</w:t>
      </w:r>
    </w:p>
    <w:p w14:paraId="0D6738F4">
      <w:pPr>
        <w:spacing w:line="360" w:lineRule="auto"/>
        <w:ind w:firstLine="645"/>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关于发包人应完成的其他开工准备工作及期限：</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u w:val="single"/>
          <w:shd w:val="clear" w:color="auto" w:fill="FFFFFF"/>
          <w14:textFill>
            <w14:solidFill>
              <w14:schemeClr w14:val="tx1"/>
            </w14:solidFill>
          </w14:textFill>
        </w:rPr>
        <w:t>开工前7天</w:t>
      </w:r>
      <w:r>
        <w:rPr>
          <w:rFonts w:hint="eastAsia" w:ascii="宋体" w:hAnsi="宋体" w:cs="宋体"/>
          <w:bCs/>
          <w:color w:val="000000" w:themeColor="text1"/>
          <w:sz w:val="24"/>
          <w:highlight w:val="none"/>
          <w:u w:val="single"/>
          <w14:textFill>
            <w14:solidFill>
              <w14:schemeClr w14:val="tx1"/>
            </w14:solidFill>
          </w14:textFill>
        </w:rPr>
        <w:t>。</w:t>
      </w:r>
    </w:p>
    <w:p w14:paraId="7CFBDA61">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关于承包人应完成的其他开工准备工作及期限：</w:t>
      </w:r>
      <w:r>
        <w:rPr>
          <w:rFonts w:hint="eastAsia" w:ascii="宋体" w:hAnsi="宋体" w:cs="宋体"/>
          <w:bCs/>
          <w:color w:val="000000" w:themeColor="text1"/>
          <w:sz w:val="24"/>
          <w:highlight w:val="none"/>
          <w:u w:val="single"/>
          <w14:textFill>
            <w14:solidFill>
              <w14:schemeClr w14:val="tx1"/>
            </w14:solidFill>
          </w14:textFill>
        </w:rPr>
        <w:t xml:space="preserve"> 以监理人的通知为准。</w:t>
      </w:r>
    </w:p>
    <w:p w14:paraId="2B9206A5">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7.3.2开工通知</w:t>
      </w:r>
    </w:p>
    <w:p w14:paraId="65B30E01">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因发包人原因造成监理人未能在计划开工日期之日起</w:t>
      </w:r>
      <w:r>
        <w:rPr>
          <w:rFonts w:hint="eastAsia" w:ascii="宋体" w:hAnsi="宋体" w:cs="宋体"/>
          <w:bCs/>
          <w:color w:val="000000" w:themeColor="text1"/>
          <w:sz w:val="24"/>
          <w:highlight w:val="none"/>
          <w:u w:val="single"/>
          <w14:textFill>
            <w14:solidFill>
              <w14:schemeClr w14:val="tx1"/>
            </w14:solidFill>
          </w14:textFill>
        </w:rPr>
        <w:t xml:space="preserve">  90  </w:t>
      </w:r>
      <w:r>
        <w:rPr>
          <w:rFonts w:hint="eastAsia" w:ascii="宋体" w:hAnsi="宋体" w:cs="宋体"/>
          <w:bCs/>
          <w:color w:val="000000" w:themeColor="text1"/>
          <w:sz w:val="24"/>
          <w:highlight w:val="none"/>
          <w14:textFill>
            <w14:solidFill>
              <w14:schemeClr w14:val="tx1"/>
            </w14:solidFill>
          </w14:textFill>
        </w:rPr>
        <w:t>天内发出开工通知的，承包人有权提出价格调整要求，或者解除合同。</w:t>
      </w:r>
    </w:p>
    <w:bookmarkEnd w:id="92"/>
    <w:bookmarkEnd w:id="93"/>
    <w:bookmarkEnd w:id="94"/>
    <w:bookmarkEnd w:id="95"/>
    <w:bookmarkEnd w:id="96"/>
    <w:bookmarkEnd w:id="97"/>
    <w:bookmarkEnd w:id="98"/>
    <w:p w14:paraId="26775FF8">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7.4 测量放线</w:t>
      </w:r>
    </w:p>
    <w:p w14:paraId="45877221">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7.4.1发包人通过监理人向承包人提供测量基准点、基准线和水准点及其书面资料的期限：</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u w:val="single"/>
          <w:shd w:val="clear" w:color="auto" w:fill="FFFFFF"/>
          <w14:textFill>
            <w14:solidFill>
              <w14:schemeClr w14:val="tx1"/>
            </w14:solidFill>
          </w14:textFill>
        </w:rPr>
        <w:t>开工前7天</w:t>
      </w:r>
      <w:r>
        <w:rPr>
          <w:rFonts w:hint="eastAsia" w:ascii="宋体" w:hAnsi="宋体" w:cs="宋体"/>
          <w:bCs/>
          <w:color w:val="000000" w:themeColor="text1"/>
          <w:sz w:val="24"/>
          <w:highlight w:val="none"/>
          <w:u w:val="single"/>
          <w14:textFill>
            <w14:solidFill>
              <w14:schemeClr w14:val="tx1"/>
            </w14:solidFill>
          </w14:textFill>
        </w:rPr>
        <w:t>。</w:t>
      </w:r>
    </w:p>
    <w:p w14:paraId="1CDF47BE">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w:t>
      </w:r>
      <w:bookmarkStart w:id="99" w:name="_Toc300934968"/>
      <w:bookmarkStart w:id="100" w:name="_Toc304295546"/>
      <w:bookmarkStart w:id="101" w:name="_Toc303539125"/>
      <w:bookmarkStart w:id="102" w:name="_Toc297123516"/>
      <w:bookmarkStart w:id="103" w:name="_Toc312678010"/>
      <w:bookmarkStart w:id="104" w:name="_Toc312677484"/>
      <w:bookmarkStart w:id="105" w:name="_Toc297216175"/>
      <w:r>
        <w:rPr>
          <w:rFonts w:hint="eastAsia" w:ascii="宋体" w:hAnsi="宋体" w:cs="宋体"/>
          <w:bCs/>
          <w:color w:val="000000" w:themeColor="text1"/>
          <w:sz w:val="24"/>
          <w:highlight w:val="none"/>
          <w14:textFill>
            <w14:solidFill>
              <w14:schemeClr w14:val="tx1"/>
            </w14:solidFill>
          </w14:textFill>
        </w:rPr>
        <w:t>.5 工期延误</w:t>
      </w:r>
    </w:p>
    <w:bookmarkEnd w:id="99"/>
    <w:bookmarkEnd w:id="100"/>
    <w:bookmarkEnd w:id="101"/>
    <w:bookmarkEnd w:id="102"/>
    <w:bookmarkEnd w:id="103"/>
    <w:bookmarkEnd w:id="104"/>
    <w:bookmarkEnd w:id="105"/>
    <w:p w14:paraId="4BAF5B09">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7.5.1 因发包人原因导致工期延误</w:t>
      </w:r>
    </w:p>
    <w:p w14:paraId="6DA1EB67">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因发包人原因导致工期延误的其他情形：</w:t>
      </w:r>
      <w:r>
        <w:rPr>
          <w:rFonts w:hint="eastAsia" w:ascii="宋体" w:hAnsi="宋体" w:cs="宋体"/>
          <w:bCs/>
          <w:color w:val="000000" w:themeColor="text1"/>
          <w:sz w:val="24"/>
          <w:highlight w:val="none"/>
          <w:u w:val="single"/>
          <w14:textFill>
            <w14:solidFill>
              <w14:schemeClr w14:val="tx1"/>
            </w14:solidFill>
          </w14:textFill>
        </w:rPr>
        <w:t>1．经监理人、发包人确认的工程量变化和设计变更；2．一周内，非承包人原因停水、停电、停气造成停工累计超过8小时；3．不可抗力；4．合同中约定监理人、发包人同意给予顺延的其它情况。</w:t>
      </w:r>
    </w:p>
    <w:p w14:paraId="318D05C0">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承包人在以上情况发生后7天内，就延误的内容和因此发生的经济支出向监理人和发包人提出报告，监理人和发包人在收到报告后7天内予以确认、答复，逾期不予答复，承包方即可视为延期要求已被确认。</w:t>
      </w:r>
    </w:p>
    <w:p w14:paraId="3ED0CC9A">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非上述原因，工程不能按合同工期竣工，承包方承担违约责任。</w:t>
      </w:r>
    </w:p>
    <w:p w14:paraId="3B6C7005">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w:t>
      </w:r>
      <w:bookmarkStart w:id="106" w:name="_Toc312678012"/>
      <w:bookmarkStart w:id="107" w:name="_Toc312677486"/>
      <w:bookmarkStart w:id="108" w:name="_Toc318581169"/>
      <w:bookmarkStart w:id="109" w:name="_Toc303539127"/>
      <w:bookmarkStart w:id="110" w:name="_Toc297123518"/>
      <w:bookmarkStart w:id="111" w:name="_Toc297216177"/>
      <w:bookmarkStart w:id="112" w:name="_Toc304295548"/>
      <w:bookmarkStart w:id="113" w:name="_Toc300934970"/>
      <w:r>
        <w:rPr>
          <w:rFonts w:hint="eastAsia" w:ascii="宋体" w:hAnsi="宋体" w:cs="宋体"/>
          <w:bCs/>
          <w:color w:val="000000" w:themeColor="text1"/>
          <w:sz w:val="24"/>
          <w:highlight w:val="none"/>
          <w14:textFill>
            <w14:solidFill>
              <w14:schemeClr w14:val="tx1"/>
            </w14:solidFill>
          </w14:textFill>
        </w:rPr>
        <w:t>.5.2 因承包人原因导致工期延误</w:t>
      </w:r>
    </w:p>
    <w:bookmarkEnd w:id="106"/>
    <w:bookmarkEnd w:id="107"/>
    <w:bookmarkEnd w:id="108"/>
    <w:p w14:paraId="3F54649D">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因</w:t>
      </w:r>
      <w:bookmarkStart w:id="114" w:name="_Toc312678013"/>
      <w:bookmarkStart w:id="115" w:name="_Toc312677487"/>
      <w:bookmarkStart w:id="116" w:name="_Toc318581170"/>
      <w:r>
        <w:rPr>
          <w:rFonts w:hint="eastAsia" w:ascii="宋体" w:hAnsi="宋体" w:cs="宋体"/>
          <w:bCs/>
          <w:color w:val="000000" w:themeColor="text1"/>
          <w:sz w:val="24"/>
          <w:highlight w:val="none"/>
          <w14:textFill>
            <w14:solidFill>
              <w14:schemeClr w14:val="tx1"/>
            </w14:solidFill>
          </w14:textFill>
        </w:rPr>
        <w:t>承包人原因造成工期延误，逾期竣工违约金的计算方法为：</w:t>
      </w:r>
      <w:bookmarkEnd w:id="109"/>
      <w:bookmarkEnd w:id="110"/>
      <w:bookmarkEnd w:id="111"/>
      <w:bookmarkEnd w:id="112"/>
      <w:bookmarkEnd w:id="113"/>
      <w:bookmarkEnd w:id="114"/>
      <w:bookmarkEnd w:id="115"/>
      <w:r>
        <w:rPr>
          <w:rFonts w:hint="eastAsia" w:ascii="宋体" w:hAnsi="宋体" w:cs="宋体"/>
          <w:bCs/>
          <w:color w:val="000000" w:themeColor="text1"/>
          <w:sz w:val="24"/>
          <w:highlight w:val="none"/>
          <w:u w:val="single"/>
          <w14:textFill>
            <w14:solidFill>
              <w14:schemeClr w14:val="tx1"/>
            </w14:solidFill>
          </w14:textFill>
        </w:rPr>
        <w:t>本工程每延误一天承包人向发包人赔偿违约金人民币5千元，并且承包人应承担由于工期延误对发包人造成的损失。</w:t>
      </w:r>
    </w:p>
    <w:bookmarkEnd w:id="116"/>
    <w:p w14:paraId="1DABD5B3">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因承包人原因造成工期延误，逾</w:t>
      </w:r>
      <w:bookmarkStart w:id="117" w:name="_Toc312678014"/>
      <w:bookmarkStart w:id="118" w:name="_Toc318581171"/>
      <w:r>
        <w:rPr>
          <w:rFonts w:hint="eastAsia" w:ascii="宋体" w:hAnsi="宋体" w:cs="宋体"/>
          <w:bCs/>
          <w:color w:val="000000" w:themeColor="text1"/>
          <w:sz w:val="24"/>
          <w:highlight w:val="none"/>
          <w14:textFill>
            <w14:solidFill>
              <w14:schemeClr w14:val="tx1"/>
            </w14:solidFill>
          </w14:textFill>
        </w:rPr>
        <w:t>期竣工违约金的上限：</w:t>
      </w:r>
      <w:r>
        <w:rPr>
          <w:rFonts w:hint="eastAsia" w:ascii="宋体" w:hAnsi="宋体" w:cs="宋体"/>
          <w:bCs/>
          <w:color w:val="000000" w:themeColor="text1"/>
          <w:sz w:val="24"/>
          <w:highlight w:val="none"/>
          <w:u w:val="single"/>
          <w14:textFill>
            <w14:solidFill>
              <w14:schemeClr w14:val="tx1"/>
            </w14:solidFill>
          </w14:textFill>
        </w:rPr>
        <w:t>延期违约赔偿金最高限额为合同价的</w:t>
      </w:r>
      <w:r>
        <w:rPr>
          <w:rFonts w:ascii="宋体" w:hAnsi="宋体" w:cs="宋体"/>
          <w:bCs/>
          <w:color w:val="000000" w:themeColor="text1"/>
          <w:sz w:val="24"/>
          <w:highlight w:val="none"/>
          <w:u w:val="single"/>
          <w14:textFill>
            <w14:solidFill>
              <w14:schemeClr w14:val="tx1"/>
            </w14:solidFill>
          </w14:textFill>
        </w:rPr>
        <w:t>10</w:t>
      </w:r>
      <w:r>
        <w:rPr>
          <w:rFonts w:hint="eastAsia" w:ascii="宋体" w:hAnsi="宋体" w:cs="宋体"/>
          <w:bCs/>
          <w:color w:val="000000" w:themeColor="text1"/>
          <w:sz w:val="24"/>
          <w:highlight w:val="none"/>
          <w:u w:val="single"/>
          <w14:textFill>
            <w14:solidFill>
              <w14:schemeClr w14:val="tx1"/>
            </w14:solidFill>
          </w14:textFill>
        </w:rPr>
        <w:t>%。</w:t>
      </w:r>
    </w:p>
    <w:bookmarkEnd w:id="117"/>
    <w:bookmarkEnd w:id="118"/>
    <w:p w14:paraId="5498437E">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w:t>
      </w:r>
      <w:bookmarkStart w:id="119" w:name="_Toc300934971"/>
      <w:bookmarkStart w:id="120" w:name="_Toc304295549"/>
      <w:bookmarkStart w:id="121" w:name="_Toc312678015"/>
      <w:bookmarkStart w:id="122" w:name="_Toc297123519"/>
      <w:bookmarkStart w:id="123" w:name="_Toc303539128"/>
      <w:bookmarkStart w:id="124" w:name="_Toc297216178"/>
      <w:r>
        <w:rPr>
          <w:rFonts w:hint="eastAsia" w:ascii="宋体" w:hAnsi="宋体" w:cs="宋体"/>
          <w:bCs/>
          <w:color w:val="000000" w:themeColor="text1"/>
          <w:sz w:val="24"/>
          <w:highlight w:val="none"/>
          <w14:textFill>
            <w14:solidFill>
              <w14:schemeClr w14:val="tx1"/>
            </w14:solidFill>
          </w14:textFill>
        </w:rPr>
        <w:t>.6 不</w:t>
      </w:r>
      <w:bookmarkEnd w:id="119"/>
      <w:bookmarkEnd w:id="120"/>
      <w:bookmarkEnd w:id="121"/>
      <w:bookmarkEnd w:id="122"/>
      <w:bookmarkEnd w:id="123"/>
      <w:bookmarkEnd w:id="124"/>
      <w:r>
        <w:rPr>
          <w:rFonts w:hint="eastAsia" w:ascii="宋体" w:hAnsi="宋体" w:cs="宋体"/>
          <w:bCs/>
          <w:color w:val="000000" w:themeColor="text1"/>
          <w:sz w:val="24"/>
          <w:highlight w:val="none"/>
          <w14:textFill>
            <w14:solidFill>
              <w14:schemeClr w14:val="tx1"/>
            </w14:solidFill>
          </w14:textFill>
        </w:rPr>
        <w:t>利物质条件</w:t>
      </w:r>
    </w:p>
    <w:p w14:paraId="4BCA3B64">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bookmarkStart w:id="125" w:name="_Toc297123520"/>
      <w:bookmarkStart w:id="126" w:name="_Toc304295550"/>
      <w:bookmarkStart w:id="127" w:name="_Toc297216179"/>
      <w:bookmarkStart w:id="128" w:name="_Toc318581172"/>
      <w:bookmarkStart w:id="129" w:name="_Toc303539129"/>
      <w:bookmarkStart w:id="130" w:name="_Toc312678016"/>
      <w:bookmarkStart w:id="131" w:name="_Toc300934972"/>
      <w:r>
        <w:rPr>
          <w:rFonts w:hint="eastAsia" w:ascii="宋体" w:hAnsi="宋体" w:cs="宋体"/>
          <w:bCs/>
          <w:color w:val="000000" w:themeColor="text1"/>
          <w:sz w:val="24"/>
          <w:highlight w:val="none"/>
          <w14:textFill>
            <w14:solidFill>
              <w14:schemeClr w14:val="tx1"/>
            </w14:solidFill>
          </w14:textFill>
        </w:rPr>
        <w:t>不利物质条件的其他情形和有关约定：</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bookmarkEnd w:id="125"/>
    <w:bookmarkEnd w:id="126"/>
    <w:bookmarkEnd w:id="127"/>
    <w:bookmarkEnd w:id="128"/>
    <w:bookmarkEnd w:id="129"/>
    <w:bookmarkEnd w:id="130"/>
    <w:bookmarkEnd w:id="131"/>
    <w:p w14:paraId="0928776E">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w:t>
      </w:r>
      <w:bookmarkStart w:id="132" w:name="_Toc297216180"/>
      <w:bookmarkStart w:id="133" w:name="_Toc304295551"/>
      <w:bookmarkStart w:id="134" w:name="_Toc300934973"/>
      <w:bookmarkStart w:id="135" w:name="_Toc303539130"/>
      <w:bookmarkStart w:id="136" w:name="_Toc297123521"/>
      <w:bookmarkStart w:id="137" w:name="_Toc312678017"/>
      <w:r>
        <w:rPr>
          <w:rFonts w:hint="eastAsia" w:ascii="宋体" w:hAnsi="宋体" w:cs="宋体"/>
          <w:bCs/>
          <w:color w:val="000000" w:themeColor="text1"/>
          <w:sz w:val="24"/>
          <w:highlight w:val="none"/>
          <w14:textFill>
            <w14:solidFill>
              <w14:schemeClr w14:val="tx1"/>
            </w14:solidFill>
          </w14:textFill>
        </w:rPr>
        <w:t>.7异常恶劣的气候条件</w:t>
      </w:r>
    </w:p>
    <w:bookmarkEnd w:id="132"/>
    <w:bookmarkEnd w:id="133"/>
    <w:bookmarkEnd w:id="134"/>
    <w:bookmarkEnd w:id="135"/>
    <w:bookmarkEnd w:id="136"/>
    <w:bookmarkEnd w:id="137"/>
    <w:p w14:paraId="4B0E5587">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发包人和承包人同意以下情形视为异常恶劣的气候条件：</w:t>
      </w:r>
    </w:p>
    <w:p w14:paraId="73FA5B21">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w:t>
      </w:r>
      <w:r>
        <w:rPr>
          <w:rFonts w:hint="eastAsia" w:ascii="宋体" w:hAnsi="宋体" w:cs="宋体"/>
          <w:bCs/>
          <w:color w:val="000000" w:themeColor="text1"/>
          <w:sz w:val="24"/>
          <w:highlight w:val="none"/>
          <w:u w:val="single"/>
          <w14:textFill>
            <w14:solidFill>
              <w14:schemeClr w14:val="tx1"/>
            </w14:solidFill>
          </w14:textFill>
        </w:rPr>
        <w:t>六级以上大风连续8小时</w:t>
      </w:r>
      <w:r>
        <w:rPr>
          <w:rFonts w:hint="eastAsia" w:ascii="宋体" w:hAnsi="宋体" w:cs="宋体"/>
          <w:bCs/>
          <w:color w:val="000000" w:themeColor="text1"/>
          <w:sz w:val="24"/>
          <w:highlight w:val="none"/>
          <w14:textFill>
            <w14:solidFill>
              <w14:schemeClr w14:val="tx1"/>
            </w14:solidFill>
          </w14:textFill>
        </w:rPr>
        <w:t>；</w:t>
      </w:r>
    </w:p>
    <w:p w14:paraId="7EB2BC11">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w:t>
      </w:r>
      <w:r>
        <w:rPr>
          <w:rFonts w:hint="eastAsia" w:ascii="宋体" w:hAnsi="宋体" w:cs="宋体"/>
          <w:bCs/>
          <w:color w:val="000000" w:themeColor="text1"/>
          <w:sz w:val="24"/>
          <w:highlight w:val="none"/>
          <w:u w:val="single"/>
          <w14:textFill>
            <w14:solidFill>
              <w14:schemeClr w14:val="tx1"/>
            </w14:solidFill>
          </w14:textFill>
        </w:rPr>
        <w:t>降雨量20毫米/小时以上的突降暴雨连续天气</w:t>
      </w:r>
      <w:r>
        <w:rPr>
          <w:rFonts w:hint="eastAsia" w:ascii="宋体" w:hAnsi="宋体" w:cs="宋体"/>
          <w:bCs/>
          <w:color w:val="000000" w:themeColor="text1"/>
          <w:sz w:val="24"/>
          <w:highlight w:val="none"/>
          <w14:textFill>
            <w14:solidFill>
              <w14:schemeClr w14:val="tx1"/>
            </w14:solidFill>
          </w14:textFill>
        </w:rPr>
        <w:t>；</w:t>
      </w:r>
    </w:p>
    <w:p w14:paraId="14DEC1E6">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w:t>
      </w:r>
      <w:r>
        <w:rPr>
          <w:rFonts w:hint="eastAsia" w:ascii="宋体" w:hAnsi="宋体" w:cs="宋体"/>
          <w:bCs/>
          <w:color w:val="000000" w:themeColor="text1"/>
          <w:sz w:val="24"/>
          <w:highlight w:val="none"/>
          <w:u w:val="single"/>
          <w14:textFill>
            <w14:solidFill>
              <w14:schemeClr w14:val="tx1"/>
            </w14:solidFill>
          </w14:textFill>
        </w:rPr>
        <w:t>工程场地50Km范围内发生5级以上地震</w:t>
      </w:r>
      <w:r>
        <w:rPr>
          <w:rFonts w:hint="eastAsia" w:ascii="宋体" w:hAnsi="宋体" w:cs="宋体"/>
          <w:bCs/>
          <w:color w:val="000000" w:themeColor="text1"/>
          <w:sz w:val="24"/>
          <w:highlight w:val="none"/>
          <w14:textFill>
            <w14:solidFill>
              <w14:schemeClr w14:val="tx1"/>
            </w14:solidFill>
          </w14:textFill>
        </w:rPr>
        <w:t>；</w:t>
      </w:r>
    </w:p>
    <w:p w14:paraId="6057D9D8">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（4）</w:t>
      </w:r>
      <w:r>
        <w:rPr>
          <w:rFonts w:hint="eastAsia" w:ascii="宋体" w:hAnsi="宋体" w:cs="宋体"/>
          <w:bCs/>
          <w:color w:val="000000" w:themeColor="text1"/>
          <w:sz w:val="24"/>
          <w:highlight w:val="none"/>
          <w:u w:val="single"/>
          <w14:textFill>
            <w14:solidFill>
              <w14:schemeClr w14:val="tx1"/>
            </w14:solidFill>
          </w14:textFill>
        </w:rPr>
        <w:t>特大洪水</w:t>
      </w:r>
      <w:r>
        <w:rPr>
          <w:rFonts w:hint="eastAsia" w:ascii="宋体" w:hAnsi="宋体" w:cs="宋体"/>
          <w:bCs/>
          <w:color w:val="000000" w:themeColor="text1"/>
          <w:sz w:val="24"/>
          <w:highlight w:val="none"/>
          <w14:textFill>
            <w14:solidFill>
              <w14:schemeClr w14:val="tx1"/>
            </w14:solidFill>
          </w14:textFill>
        </w:rPr>
        <w:t>；</w:t>
      </w:r>
    </w:p>
    <w:p w14:paraId="1EA91F0A">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降雪量为50mm/小时以上或连续三天降雪量超过200mm</w:t>
      </w:r>
      <w:r>
        <w:rPr>
          <w:rFonts w:hint="eastAsia" w:ascii="宋体" w:hAnsi="宋体" w:cs="宋体"/>
          <w:bCs/>
          <w:color w:val="000000" w:themeColor="text1"/>
          <w:sz w:val="24"/>
          <w:highlight w:val="none"/>
          <w14:textFill>
            <w14:solidFill>
              <w14:schemeClr w14:val="tx1"/>
            </w14:solidFill>
          </w14:textFill>
        </w:rPr>
        <w:t>。</w:t>
      </w:r>
    </w:p>
    <w:p w14:paraId="7F92B97F">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7.9 提前竣工的奖励</w:t>
      </w:r>
    </w:p>
    <w:p w14:paraId="1CE88051">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7.9.2提前竣工的奖励：</w:t>
      </w:r>
      <w:r>
        <w:rPr>
          <w:rFonts w:hint="eastAsia" w:ascii="宋体" w:hAnsi="宋体" w:cs="宋体"/>
          <w:bCs/>
          <w:color w:val="000000" w:themeColor="text1"/>
          <w:sz w:val="24"/>
          <w:highlight w:val="none"/>
          <w:u w:val="single"/>
          <w14:textFill>
            <w14:solidFill>
              <w14:schemeClr w14:val="tx1"/>
            </w14:solidFill>
          </w14:textFill>
        </w:rPr>
        <w:t xml:space="preserve">    无   </w:t>
      </w:r>
      <w:r>
        <w:rPr>
          <w:rFonts w:hint="eastAsia" w:ascii="宋体" w:hAnsi="宋体" w:cs="宋体"/>
          <w:bCs/>
          <w:color w:val="000000" w:themeColor="text1"/>
          <w:sz w:val="24"/>
          <w:highlight w:val="none"/>
          <w14:textFill>
            <w14:solidFill>
              <w14:schemeClr w14:val="tx1"/>
            </w14:solidFill>
          </w14:textFill>
        </w:rPr>
        <w:t>。</w:t>
      </w:r>
    </w:p>
    <w:p w14:paraId="34B100BF">
      <w:pPr>
        <w:spacing w:line="360" w:lineRule="auto"/>
        <w:ind w:firstLine="480"/>
        <w:rPr>
          <w:rFonts w:ascii="宋体" w:hAnsi="宋体" w:cs="宋体"/>
          <w:color w:val="000000" w:themeColor="text1"/>
          <w:sz w:val="24"/>
          <w:highlight w:val="none"/>
          <w14:textFill>
            <w14:solidFill>
              <w14:schemeClr w14:val="tx1"/>
            </w14:solidFill>
          </w14:textFill>
        </w:rPr>
      </w:pPr>
      <w:bookmarkStart w:id="138" w:name="_Toc351203640"/>
      <w:r>
        <w:rPr>
          <w:rFonts w:hint="eastAsia" w:ascii="宋体" w:hAnsi="宋体" w:cs="宋体"/>
          <w:color w:val="000000" w:themeColor="text1"/>
          <w:sz w:val="24"/>
          <w:highlight w:val="none"/>
          <w14:textFill>
            <w14:solidFill>
              <w14:schemeClr w14:val="tx1"/>
            </w14:solidFill>
          </w14:textFill>
        </w:rPr>
        <w:t>8. 材料与设备</w:t>
      </w:r>
      <w:bookmarkEnd w:id="138"/>
    </w:p>
    <w:bookmarkEnd w:id="73"/>
    <w:bookmarkEnd w:id="74"/>
    <w:bookmarkEnd w:id="75"/>
    <w:bookmarkEnd w:id="76"/>
    <w:bookmarkEnd w:id="77"/>
    <w:bookmarkEnd w:id="78"/>
    <w:bookmarkEnd w:id="79"/>
    <w:bookmarkEnd w:id="80"/>
    <w:bookmarkEnd w:id="81"/>
    <w:bookmarkEnd w:id="82"/>
    <w:p w14:paraId="7435010D">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8</w:t>
      </w:r>
      <w:bookmarkStart w:id="139" w:name="_Toc297123527"/>
      <w:bookmarkStart w:id="140" w:name="_Toc304295556"/>
      <w:bookmarkStart w:id="141" w:name="_Toc292559372"/>
      <w:bookmarkStart w:id="142" w:name="_Toc296347166"/>
      <w:bookmarkStart w:id="143" w:name="_Toc300934979"/>
      <w:bookmarkStart w:id="144" w:name="_Toc312677493"/>
      <w:bookmarkStart w:id="145" w:name="_Toc280868654"/>
      <w:bookmarkStart w:id="146" w:name="_Toc296890995"/>
      <w:bookmarkStart w:id="147" w:name="_Toc297216186"/>
      <w:bookmarkStart w:id="148" w:name="_Toc303539136"/>
      <w:bookmarkStart w:id="149" w:name="_Toc296346668"/>
      <w:bookmarkStart w:id="150" w:name="_Toc297048353"/>
      <w:bookmarkStart w:id="151" w:name="_Toc292559877"/>
      <w:bookmarkStart w:id="152" w:name="_Toc312678019"/>
      <w:bookmarkStart w:id="153" w:name="_Toc296944506"/>
      <w:bookmarkStart w:id="154" w:name="_Toc296891207"/>
      <w:bookmarkStart w:id="155" w:name="_Toc296503167"/>
      <w:bookmarkStart w:id="156" w:name="_Toc297120467"/>
      <w:bookmarkStart w:id="157" w:name="_Toc280868655"/>
      <w:bookmarkStart w:id="158" w:name="_Toc280868656"/>
      <w:bookmarkStart w:id="159" w:name="_Toc267251424"/>
      <w:r>
        <w:rPr>
          <w:rFonts w:hint="eastAsia" w:ascii="宋体" w:hAnsi="宋体" w:cs="宋体"/>
          <w:bCs/>
          <w:color w:val="000000" w:themeColor="text1"/>
          <w:sz w:val="24"/>
          <w:highlight w:val="none"/>
          <w14:textFill>
            <w14:solidFill>
              <w14:schemeClr w14:val="tx1"/>
            </w14:solidFill>
          </w14:textFill>
        </w:rPr>
        <w:t>.4材料与工程设备的保管与使用</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2362B439">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8</w:t>
      </w:r>
      <w:bookmarkStart w:id="160" w:name="_Toc292559373"/>
      <w:bookmarkStart w:id="161" w:name="_Toc292559878"/>
      <w:bookmarkStart w:id="162" w:name="_Toc296890996"/>
      <w:bookmarkStart w:id="163" w:name="_Toc296503168"/>
      <w:bookmarkStart w:id="164" w:name="_Toc297120468"/>
      <w:bookmarkStart w:id="165" w:name="_Toc300934980"/>
      <w:bookmarkStart w:id="166" w:name="_Toc304295557"/>
      <w:bookmarkStart w:id="167" w:name="_Toc303539137"/>
      <w:bookmarkStart w:id="168" w:name="_Toc297216187"/>
      <w:bookmarkStart w:id="169" w:name="_Toc318581173"/>
      <w:bookmarkStart w:id="170" w:name="_Toc296347167"/>
      <w:bookmarkStart w:id="171" w:name="_Toc296891208"/>
      <w:bookmarkStart w:id="172" w:name="_Toc297123528"/>
      <w:bookmarkStart w:id="173" w:name="_Toc296944507"/>
      <w:bookmarkStart w:id="174" w:name="_Toc312678020"/>
      <w:bookmarkStart w:id="175" w:name="_Toc312677494"/>
      <w:bookmarkStart w:id="176" w:name="_Toc297048354"/>
      <w:bookmarkStart w:id="177" w:name="_Toc296346669"/>
      <w:r>
        <w:rPr>
          <w:rFonts w:hint="eastAsia" w:ascii="宋体" w:hAnsi="宋体" w:cs="宋体"/>
          <w:bCs/>
          <w:color w:val="000000" w:themeColor="text1"/>
          <w:sz w:val="24"/>
          <w:highlight w:val="none"/>
          <w14:textFill>
            <w14:solidFill>
              <w14:schemeClr w14:val="tx1"/>
            </w14:solidFill>
          </w14:textFill>
        </w:rPr>
        <w:t>.4.1发包人供应的材料设备的保管费用的承担：</w:t>
      </w:r>
      <w:r>
        <w:rPr>
          <w:rFonts w:hint="eastAsia" w:ascii="宋体" w:hAnsi="宋体" w:cs="宋体"/>
          <w:bCs/>
          <w:color w:val="000000" w:themeColor="text1"/>
          <w:sz w:val="24"/>
          <w:highlight w:val="none"/>
          <w:u w:val="single"/>
          <w14:textFill>
            <w14:solidFill>
              <w14:schemeClr w14:val="tx1"/>
            </w14:solidFill>
          </w14:textFill>
        </w:rPr>
        <w:t xml:space="preserve">由承包人承担 </w:t>
      </w:r>
      <w:r>
        <w:rPr>
          <w:rFonts w:hint="eastAsia" w:ascii="宋体" w:hAnsi="宋体" w:cs="宋体"/>
          <w:bCs/>
          <w:color w:val="000000" w:themeColor="text1"/>
          <w:sz w:val="24"/>
          <w:highlight w:val="none"/>
          <w14:textFill>
            <w14:solidFill>
              <w14:schemeClr w14:val="tx1"/>
            </w14:solidFill>
          </w14:textFill>
        </w:rPr>
        <w:t>。</w:t>
      </w:r>
      <w:bookmarkEnd w:id="160"/>
      <w:bookmarkEnd w:id="161"/>
    </w:p>
    <w:p w14:paraId="6EDA554E">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承包人采购材料设备的约定：</w:t>
      </w:r>
      <w:r>
        <w:rPr>
          <w:rFonts w:hint="eastAsia" w:ascii="宋体" w:hAnsi="宋体" w:cs="宋体"/>
          <w:bCs/>
          <w:color w:val="000000" w:themeColor="text1"/>
          <w:sz w:val="24"/>
          <w:highlight w:val="none"/>
          <w:u w:val="single"/>
          <w14:textFill>
            <w14:solidFill>
              <w14:schemeClr w14:val="tx1"/>
            </w14:solidFill>
          </w14:textFill>
        </w:rPr>
        <w:t>本工程所需的所有材料、设备均由承包人采购。当发包人因建设需要在承包人投标报价的合理范围内需对部分材料、设备进行选样选型时，承包人应无条件配合。如承包人不配合或有意拖延，影响现场进度的，发包人可自行采购和指定采购，承包人应无条件接受并配合，相关采购费用由承包人承担。承包人必须严格按施工图约定及合同要求选择材料。</w:t>
      </w:r>
    </w:p>
    <w:p w14:paraId="03AEAB77">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8.6 样品</w:t>
      </w:r>
    </w:p>
    <w:p w14:paraId="252C591C">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8.6.1</w:t>
      </w:r>
      <w:r>
        <w:rPr>
          <w:rFonts w:hint="eastAsia" w:ascii="宋体" w:hAnsi="宋体" w:cs="宋体"/>
          <w:bCs/>
          <w:color w:val="000000" w:themeColor="text1"/>
          <w:sz w:val="24"/>
          <w:highlight w:val="none"/>
          <w14:textFill>
            <w14:solidFill>
              <w14:schemeClr w14:val="tx1"/>
            </w14:solidFill>
          </w14:textFill>
        </w:rPr>
        <w:tab/>
      </w:r>
      <w:r>
        <w:rPr>
          <w:rFonts w:hint="eastAsia" w:ascii="宋体" w:hAnsi="宋体" w:cs="宋体"/>
          <w:bCs/>
          <w:color w:val="000000" w:themeColor="text1"/>
          <w:sz w:val="24"/>
          <w:highlight w:val="none"/>
          <w14:textFill>
            <w14:solidFill>
              <w14:schemeClr w14:val="tx1"/>
            </w14:solidFill>
          </w14:textFill>
        </w:rPr>
        <w:t>样品的报送与封存</w:t>
      </w:r>
    </w:p>
    <w:p w14:paraId="3619C5C6">
      <w:pPr>
        <w:autoSpaceDE w:val="0"/>
        <w:autoSpaceDN w:val="0"/>
        <w:adjustRightInd w:val="0"/>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需要承包人报送样品的材料或工程设备，样品的种类、名称、规格、数量要求：</w:t>
      </w:r>
      <w:r>
        <w:rPr>
          <w:rFonts w:hint="eastAsia" w:ascii="宋体" w:hAnsi="宋体" w:cs="宋体"/>
          <w:bCs/>
          <w:color w:val="000000" w:themeColor="text1"/>
          <w:sz w:val="24"/>
          <w:highlight w:val="none"/>
          <w:u w:val="single"/>
          <w14:textFill>
            <w14:solidFill>
              <w14:schemeClr w14:val="tx1"/>
            </w14:solidFill>
          </w14:textFill>
        </w:rPr>
        <w:t>1）对所有合同规定的由承包人自主采购的材料或设备，采购前承包人应将供应商的相关资料报送监理工程师和发包人审查，当监理工程师或发包人认为有必要对供应商进行实地考察时，承包人应提供必要的协助及相关考察费用；</w:t>
      </w:r>
    </w:p>
    <w:p w14:paraId="6F85B7F2">
      <w:pPr>
        <w:autoSpaceDE w:val="0"/>
        <w:autoSpaceDN w:val="0"/>
        <w:adjustRightInd w:val="0"/>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所有用于本工程的材料和设备进场以前，承包人必须向监理工程师提交生产厂商出具的生产许可证、质量合格证和检验报告，以证明该材料或设备质量符合本合同或技术规范的规定。在质量和性能均应符合国家标准和设计要求，并经发包方委托的监理工程师验收合格后方能进场，供货还必须满足施工进度要求，否则发包人有权自行采购，由此产生的费用由承包人承担。</w:t>
      </w:r>
    </w:p>
    <w:p w14:paraId="70B9F1A3">
      <w:pPr>
        <w:autoSpaceDE w:val="0"/>
        <w:autoSpaceDN w:val="0"/>
        <w:adjustRightInd w:val="0"/>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3）承包人应按监理工程师和发包人的指令随时配合对施工现场材料或设备的检验，并应为监理工程师对材料或设备的检验提供一切必要的协助，在材料用于工程之前，承包人应按监理工程师的要求提供材料样品，材料应按先送检通过、后采用的原则进行使用。</w:t>
      </w:r>
    </w:p>
    <w:p w14:paraId="27058DA6">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8.8 施工设备和临时设施</w:t>
      </w:r>
    </w:p>
    <w:p w14:paraId="5A87CBC6">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8.8.1 承包人提供的施工设备和临时设施</w:t>
      </w:r>
    </w:p>
    <w:p w14:paraId="0F24D4D1">
      <w:pPr>
        <w:autoSpaceDE w:val="0"/>
        <w:autoSpaceDN w:val="0"/>
        <w:adjustRightInd w:val="0"/>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关于修建临时设施费用承担的约定：</w:t>
      </w:r>
      <w:r>
        <w:rPr>
          <w:rFonts w:hint="eastAsia" w:ascii="宋体" w:hAnsi="宋体" w:cs="宋体"/>
          <w:bCs/>
          <w:color w:val="000000" w:themeColor="text1"/>
          <w:sz w:val="24"/>
          <w:highlight w:val="none"/>
          <w:u w:val="single"/>
          <w14:textFill>
            <w14:solidFill>
              <w14:schemeClr w14:val="tx1"/>
            </w14:solidFill>
          </w14:textFill>
        </w:rPr>
        <w:t>已包含在合同价中</w:t>
      </w:r>
      <w:r>
        <w:rPr>
          <w:rFonts w:hint="eastAsia" w:ascii="宋体" w:hAnsi="宋体" w:cs="宋体"/>
          <w:bCs/>
          <w:color w:val="000000" w:themeColor="text1"/>
          <w:sz w:val="24"/>
          <w:highlight w:val="none"/>
          <w14:textFill>
            <w14:solidFill>
              <w14:schemeClr w14:val="tx1"/>
            </w14:solidFill>
          </w14:textFill>
        </w:rPr>
        <w:t>。</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2F46D1CF">
      <w:pPr>
        <w:spacing w:line="360" w:lineRule="auto"/>
        <w:ind w:firstLine="480"/>
        <w:rPr>
          <w:rFonts w:ascii="宋体" w:hAnsi="宋体" w:cs="宋体"/>
          <w:color w:val="000000" w:themeColor="text1"/>
          <w:sz w:val="24"/>
          <w:highlight w:val="none"/>
          <w14:textFill>
            <w14:solidFill>
              <w14:schemeClr w14:val="tx1"/>
            </w14:solidFill>
          </w14:textFill>
        </w:rPr>
      </w:pPr>
      <w:bookmarkStart w:id="178" w:name="_Toc351203641"/>
      <w:r>
        <w:rPr>
          <w:rFonts w:hint="eastAsia" w:ascii="宋体" w:hAnsi="宋体" w:cs="宋体"/>
          <w:color w:val="000000" w:themeColor="text1"/>
          <w:sz w:val="24"/>
          <w:highlight w:val="none"/>
          <w14:textFill>
            <w14:solidFill>
              <w14:schemeClr w14:val="tx1"/>
            </w14:solidFill>
          </w14:textFill>
        </w:rPr>
        <w:t>9</w:t>
      </w:r>
      <w:bookmarkEnd w:id="157"/>
      <w:bookmarkEnd w:id="158"/>
      <w:bookmarkEnd w:id="159"/>
      <w:bookmarkStart w:id="179" w:name="_Toc303539139"/>
      <w:bookmarkStart w:id="180" w:name="_Toc300934982"/>
      <w:bookmarkStart w:id="181" w:name="_Toc312677495"/>
      <w:bookmarkStart w:id="182" w:name="_Toc297216192"/>
      <w:bookmarkStart w:id="183" w:name="_Toc304295559"/>
      <w:bookmarkStart w:id="184" w:name="_Toc312678021"/>
      <w:bookmarkStart w:id="185" w:name="_Toc297123533"/>
      <w:bookmarkStart w:id="186" w:name="_Toc292559378"/>
      <w:bookmarkStart w:id="187" w:name="_Toc296503173"/>
      <w:bookmarkStart w:id="188" w:name="_Toc292559883"/>
      <w:bookmarkStart w:id="189" w:name="_Toc296891001"/>
      <w:bookmarkStart w:id="190" w:name="_Toc297120473"/>
      <w:bookmarkStart w:id="191" w:name="_Toc296346674"/>
      <w:bookmarkStart w:id="192" w:name="_Toc296891213"/>
      <w:bookmarkStart w:id="193" w:name="_Toc297048359"/>
      <w:bookmarkStart w:id="194" w:name="_Toc296347172"/>
      <w:bookmarkStart w:id="195" w:name="_Toc296944512"/>
      <w:bookmarkStart w:id="196" w:name="_Toc267251428"/>
      <w:bookmarkStart w:id="197" w:name="_Toc267251427"/>
      <w:r>
        <w:rPr>
          <w:rFonts w:hint="eastAsia" w:ascii="宋体" w:hAnsi="宋体" w:cs="宋体"/>
          <w:color w:val="000000" w:themeColor="text1"/>
          <w:sz w:val="24"/>
          <w:highlight w:val="none"/>
          <w14:textFill>
            <w14:solidFill>
              <w14:schemeClr w14:val="tx1"/>
            </w14:solidFill>
          </w14:textFill>
        </w:rPr>
        <w:t>. 试验与检验</w:t>
      </w:r>
      <w:bookmarkEnd w:id="178"/>
    </w:p>
    <w:bookmarkEnd w:id="179"/>
    <w:bookmarkEnd w:id="180"/>
    <w:bookmarkEnd w:id="181"/>
    <w:bookmarkEnd w:id="182"/>
    <w:bookmarkEnd w:id="183"/>
    <w:bookmarkEnd w:id="184"/>
    <w:bookmarkEnd w:id="185"/>
    <w:p w14:paraId="260F16AF">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9</w:t>
      </w:r>
      <w:bookmarkStart w:id="198" w:name="_Toc300934983"/>
      <w:bookmarkStart w:id="199" w:name="_Toc304295560"/>
      <w:bookmarkStart w:id="200" w:name="_Toc297123534"/>
      <w:bookmarkStart w:id="201" w:name="_Toc297216193"/>
      <w:bookmarkStart w:id="202" w:name="_Toc312677496"/>
      <w:bookmarkStart w:id="203" w:name="_Toc303539140"/>
      <w:bookmarkStart w:id="204" w:name="_Toc312678022"/>
      <w:r>
        <w:rPr>
          <w:rFonts w:hint="eastAsia" w:ascii="宋体" w:hAnsi="宋体" w:cs="宋体"/>
          <w:bCs/>
          <w:color w:val="000000" w:themeColor="text1"/>
          <w:sz w:val="24"/>
          <w:highlight w:val="none"/>
          <w14:textFill>
            <w14:solidFill>
              <w14:schemeClr w14:val="tx1"/>
            </w14:solidFill>
          </w14:textFill>
        </w:rPr>
        <w:t>.1试验设备与试验人员</w:t>
      </w:r>
    </w:p>
    <w:bookmarkEnd w:id="198"/>
    <w:bookmarkEnd w:id="199"/>
    <w:bookmarkEnd w:id="200"/>
    <w:bookmarkEnd w:id="201"/>
    <w:bookmarkEnd w:id="202"/>
    <w:bookmarkEnd w:id="203"/>
    <w:bookmarkEnd w:id="204"/>
    <w:p w14:paraId="426C78A3">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9</w:t>
      </w:r>
      <w:bookmarkStart w:id="205" w:name="_Toc303539141"/>
      <w:bookmarkStart w:id="206" w:name="_Toc297123535"/>
      <w:bookmarkStart w:id="207" w:name="_Toc297216194"/>
      <w:bookmarkStart w:id="208" w:name="_Toc304295561"/>
      <w:bookmarkStart w:id="209" w:name="_Toc312678023"/>
      <w:bookmarkStart w:id="210" w:name="_Toc300934984"/>
      <w:bookmarkStart w:id="211" w:name="_Toc312677497"/>
      <w:bookmarkStart w:id="212" w:name="_Toc318581174"/>
      <w:r>
        <w:rPr>
          <w:rFonts w:hint="eastAsia" w:ascii="宋体" w:hAnsi="宋体" w:cs="宋体"/>
          <w:bCs/>
          <w:color w:val="000000" w:themeColor="text1"/>
          <w:sz w:val="24"/>
          <w:highlight w:val="none"/>
          <w14:textFill>
            <w14:solidFill>
              <w14:schemeClr w14:val="tx1"/>
            </w14:solidFill>
          </w14:textFill>
        </w:rPr>
        <w:t>.1.2 试验设备</w:t>
      </w:r>
    </w:p>
    <w:p w14:paraId="1E3D1735">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施工现场需要配置的试验场所：</w:t>
      </w:r>
      <w:bookmarkEnd w:id="205"/>
      <w:bookmarkEnd w:id="206"/>
      <w:bookmarkEnd w:id="207"/>
      <w:bookmarkEnd w:id="208"/>
      <w:bookmarkEnd w:id="209"/>
      <w:bookmarkEnd w:id="210"/>
      <w:bookmarkEnd w:id="211"/>
      <w:bookmarkStart w:id="213" w:name="_Toc304295562"/>
      <w:bookmarkStart w:id="214" w:name="_Toc297123536"/>
      <w:bookmarkStart w:id="215" w:name="_Toc300934985"/>
      <w:bookmarkStart w:id="216" w:name="_Toc312677498"/>
      <w:bookmarkStart w:id="217" w:name="_Toc297216195"/>
      <w:bookmarkStart w:id="218" w:name="_Toc303539142"/>
      <w:bookmarkStart w:id="219" w:name="_Toc312678024"/>
      <w:r>
        <w:rPr>
          <w:rFonts w:hint="eastAsia" w:ascii="宋体" w:hAnsi="宋体" w:cs="宋体"/>
          <w:bCs/>
          <w:color w:val="000000" w:themeColor="text1"/>
          <w:sz w:val="24"/>
          <w:highlight w:val="none"/>
          <w:u w:val="single"/>
          <w14:textFill>
            <w14:solidFill>
              <w14:schemeClr w14:val="tx1"/>
            </w14:solidFill>
          </w14:textFill>
        </w:rPr>
        <w:t>要求承包人在施工组织设计中明确，在开工前报监理人认可。</w:t>
      </w:r>
      <w:r>
        <w:rPr>
          <w:rFonts w:hint="eastAsia" w:ascii="宋体" w:hAnsi="宋体" w:cs="宋体"/>
          <w:bCs/>
          <w:color w:val="000000" w:themeColor="text1"/>
          <w:sz w:val="24"/>
          <w:highlight w:val="none"/>
          <w14:textFill>
            <w14:solidFill>
              <w14:schemeClr w14:val="tx1"/>
            </w14:solidFill>
          </w14:textFill>
        </w:rPr>
        <w:t xml:space="preserve"> </w:t>
      </w:r>
    </w:p>
    <w:p w14:paraId="2D3AFACE">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施工现场需要配备的试验设备：</w:t>
      </w:r>
      <w:r>
        <w:rPr>
          <w:rFonts w:hint="eastAsia" w:ascii="宋体" w:hAnsi="宋体" w:cs="宋体"/>
          <w:bCs/>
          <w:color w:val="000000" w:themeColor="text1"/>
          <w:sz w:val="24"/>
          <w:highlight w:val="none"/>
          <w:u w:val="single"/>
          <w14:textFill>
            <w14:solidFill>
              <w14:schemeClr w14:val="tx1"/>
            </w14:solidFill>
          </w14:textFill>
        </w:rPr>
        <w:t>要求承包人在施工组织设计中明确，在开工前报监理人认可。</w:t>
      </w:r>
    </w:p>
    <w:p w14:paraId="4DDC0228">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施工现场需要具备的其他试验条件：</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21F627D0">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9.4 现场工艺试验 </w:t>
      </w:r>
    </w:p>
    <w:p w14:paraId="7184B18D">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现场工艺试验的有关约定：</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bookmarkEnd w:id="212"/>
    <w:bookmarkEnd w:id="213"/>
    <w:bookmarkEnd w:id="214"/>
    <w:bookmarkEnd w:id="215"/>
    <w:bookmarkEnd w:id="216"/>
    <w:bookmarkEnd w:id="217"/>
    <w:bookmarkEnd w:id="218"/>
    <w:bookmarkEnd w:id="219"/>
    <w:p w14:paraId="4374161F">
      <w:pPr>
        <w:spacing w:line="360" w:lineRule="auto"/>
        <w:ind w:firstLine="480"/>
        <w:rPr>
          <w:rFonts w:ascii="宋体" w:hAnsi="宋体" w:cs="宋体"/>
          <w:color w:val="000000" w:themeColor="text1"/>
          <w:sz w:val="24"/>
          <w:highlight w:val="none"/>
          <w14:textFill>
            <w14:solidFill>
              <w14:schemeClr w14:val="tx1"/>
            </w14:solidFill>
          </w14:textFill>
        </w:rPr>
      </w:pPr>
      <w:bookmarkStart w:id="220" w:name="_Toc351203642"/>
      <w:r>
        <w:rPr>
          <w:rFonts w:hint="eastAsia" w:ascii="宋体" w:hAnsi="宋体" w:cs="宋体"/>
          <w:color w:val="000000" w:themeColor="text1"/>
          <w:sz w:val="24"/>
          <w:highlight w:val="none"/>
          <w14:textFill>
            <w14:solidFill>
              <w14:schemeClr w14:val="tx1"/>
            </w14:solidFill>
          </w14:textFill>
        </w:rPr>
        <w:t>1</w:t>
      </w:r>
      <w:bookmarkEnd w:id="186"/>
      <w:bookmarkEnd w:id="187"/>
      <w:bookmarkEnd w:id="188"/>
      <w:bookmarkEnd w:id="189"/>
      <w:bookmarkEnd w:id="190"/>
      <w:bookmarkEnd w:id="191"/>
      <w:bookmarkEnd w:id="192"/>
      <w:bookmarkEnd w:id="193"/>
      <w:bookmarkEnd w:id="194"/>
      <w:bookmarkEnd w:id="195"/>
      <w:bookmarkEnd w:id="196"/>
      <w:bookmarkEnd w:id="197"/>
      <w:bookmarkStart w:id="221" w:name="_Toc300934989"/>
      <w:bookmarkStart w:id="222" w:name="_Toc297120493"/>
      <w:bookmarkStart w:id="223" w:name="_Toc297216199"/>
      <w:bookmarkStart w:id="224" w:name="_Toc296944532"/>
      <w:bookmarkStart w:id="225" w:name="_Toc296347192"/>
      <w:bookmarkStart w:id="226" w:name="_Toc303539146"/>
      <w:bookmarkStart w:id="227" w:name="_Toc292559903"/>
      <w:bookmarkStart w:id="228" w:name="_Toc297048379"/>
      <w:bookmarkStart w:id="229" w:name="_Toc296891233"/>
      <w:bookmarkStart w:id="230" w:name="_Toc296346694"/>
      <w:bookmarkStart w:id="231" w:name="_Toc292559398"/>
      <w:bookmarkStart w:id="232" w:name="_Toc296891021"/>
      <w:bookmarkStart w:id="233" w:name="_Toc296503193"/>
      <w:bookmarkStart w:id="234" w:name="_Toc297123540"/>
      <w:bookmarkStart w:id="235" w:name="_Toc304295566"/>
      <w:bookmarkStart w:id="236" w:name="_Toc312678025"/>
      <w:bookmarkStart w:id="237" w:name="_Toc312677499"/>
      <w:bookmarkStart w:id="238" w:name="_Toc267251441"/>
      <w:bookmarkStart w:id="239" w:name="_Toc267251439"/>
      <w:bookmarkStart w:id="240" w:name="_Toc267251440"/>
      <w:bookmarkStart w:id="241" w:name="_Toc267251435"/>
      <w:bookmarkStart w:id="242" w:name="_Toc267251433"/>
      <w:bookmarkStart w:id="243" w:name="_Toc267251437"/>
      <w:bookmarkStart w:id="244" w:name="_Toc267251442"/>
      <w:r>
        <w:rPr>
          <w:rFonts w:hint="eastAsia" w:ascii="宋体" w:hAnsi="宋体" w:cs="宋体"/>
          <w:color w:val="000000" w:themeColor="text1"/>
          <w:sz w:val="24"/>
          <w:highlight w:val="none"/>
          <w14:textFill>
            <w14:solidFill>
              <w14:schemeClr w14:val="tx1"/>
            </w14:solidFill>
          </w14:textFill>
        </w:rPr>
        <w:t>0. 变更</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bookmarkEnd w:id="236"/>
    <w:bookmarkEnd w:id="237"/>
    <w:p w14:paraId="37B5B01F">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w:t>
      </w:r>
      <w:bookmarkStart w:id="245" w:name="_Toc296503194"/>
      <w:bookmarkStart w:id="246" w:name="_Toc292559399"/>
      <w:bookmarkStart w:id="247" w:name="_Toc296891022"/>
      <w:bookmarkStart w:id="248" w:name="_Toc297048380"/>
      <w:bookmarkStart w:id="249" w:name="_Toc303539147"/>
      <w:bookmarkStart w:id="250" w:name="_Toc297120494"/>
      <w:bookmarkStart w:id="251" w:name="_Toc304295567"/>
      <w:bookmarkStart w:id="252" w:name="_Toc296346695"/>
      <w:bookmarkStart w:id="253" w:name="_Toc296944533"/>
      <w:bookmarkStart w:id="254" w:name="_Toc297216200"/>
      <w:bookmarkStart w:id="255" w:name="_Toc297123541"/>
      <w:bookmarkStart w:id="256" w:name="_Toc312677500"/>
      <w:bookmarkStart w:id="257" w:name="_Toc296347193"/>
      <w:bookmarkStart w:id="258" w:name="_Toc312678026"/>
      <w:bookmarkStart w:id="259" w:name="_Toc296891234"/>
      <w:bookmarkStart w:id="260" w:name="_Toc300934990"/>
      <w:bookmarkStart w:id="261" w:name="_Toc292559904"/>
      <w:r>
        <w:rPr>
          <w:rFonts w:hint="eastAsia" w:ascii="宋体" w:hAnsi="宋体" w:cs="宋体"/>
          <w:bCs/>
          <w:color w:val="000000" w:themeColor="text1"/>
          <w:sz w:val="24"/>
          <w:highlight w:val="none"/>
          <w14:textFill>
            <w14:solidFill>
              <w14:schemeClr w14:val="tx1"/>
            </w14:solidFill>
          </w14:textFill>
        </w:rPr>
        <w:t>0.1变更的范围</w:t>
      </w:r>
    </w:p>
    <w:p w14:paraId="5B5083D3">
      <w:pPr>
        <w:spacing w:line="360" w:lineRule="auto"/>
        <w:ind w:firstLine="6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关于变更的范围的约定：</w:t>
      </w:r>
      <w:r>
        <w:rPr>
          <w:rFonts w:hint="eastAsia" w:ascii="宋体" w:hAnsi="宋体" w:cs="宋体"/>
          <w:bCs/>
          <w:color w:val="000000" w:themeColor="text1"/>
          <w:sz w:val="24"/>
          <w:highlight w:val="none"/>
          <w:u w:val="single"/>
          <w14:textFill>
            <w14:solidFill>
              <w14:schemeClr w14:val="tx1"/>
            </w14:solidFill>
          </w14:textFill>
        </w:rPr>
        <w:t>合同履行过程中发生以下情形的，应按照本条约定进行变更：</w:t>
      </w:r>
    </w:p>
    <w:p w14:paraId="144B3270">
      <w:pPr>
        <w:spacing w:line="360" w:lineRule="auto"/>
        <w:ind w:firstLine="6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10.1.1工程设计变更。由设计单位出具变更通知（含图纸答疑、设计交底内包含的设计变更；图纸标注或显示不明确的情况，设计单位在答疑、交底或施工过程中予以明确时，该部分不作为设计变更），交发包人、监理单位审核后发放承包人执行。</w:t>
      </w:r>
    </w:p>
    <w:p w14:paraId="7DFF53FA">
      <w:pPr>
        <w:spacing w:line="360" w:lineRule="auto"/>
        <w:ind w:firstLine="6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10.1.2现场工程变更（洽商）。经发包人、监理单位审核、签字后，出具变更通知，发放承包人执行。</w:t>
      </w:r>
    </w:p>
    <w:p w14:paraId="7E50961A">
      <w:pPr>
        <w:spacing w:line="360" w:lineRule="auto"/>
        <w:ind w:firstLine="6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10.1.3 现场指令单，由发包人签发，交监理单位及承包人执行，承包人应及时办理工程签证、变更手续。现场指令单仅作为现场施工依据，结算以办理完成的签证、变更手续为依据计取。</w:t>
      </w:r>
    </w:p>
    <w:p w14:paraId="0A448F29">
      <w:pPr>
        <w:spacing w:line="360" w:lineRule="auto"/>
        <w:ind w:firstLine="6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10.1.</w:t>
      </w:r>
      <w:r>
        <w:rPr>
          <w:rFonts w:ascii="宋体" w:hAnsi="宋体" w:cs="宋体"/>
          <w:bCs/>
          <w:color w:val="000000" w:themeColor="text1"/>
          <w:sz w:val="24"/>
          <w:highlight w:val="none"/>
          <w:u w:val="single"/>
          <w14:textFill>
            <w14:solidFill>
              <w14:schemeClr w14:val="tx1"/>
            </w14:solidFill>
          </w14:textFill>
        </w:rPr>
        <w:t>4</w:t>
      </w:r>
      <w:r>
        <w:rPr>
          <w:rFonts w:hint="eastAsia" w:ascii="宋体" w:hAnsi="宋体" w:cs="宋体"/>
          <w:bCs/>
          <w:color w:val="000000" w:themeColor="text1"/>
          <w:sz w:val="24"/>
          <w:highlight w:val="none"/>
          <w:u w:val="single"/>
          <w14:textFill>
            <w14:solidFill>
              <w14:schemeClr w14:val="tx1"/>
            </w14:solidFill>
          </w14:textFill>
        </w:rPr>
        <w:t xml:space="preserve"> 承包人提出的工程变更（工作联系单）。按照具体内容由监理单位、设计单位（有需要时）、发包人审核后，由监理单位发放承包人执行。</w:t>
      </w:r>
    </w:p>
    <w:p w14:paraId="63BB658B">
      <w:pPr>
        <w:spacing w:line="360" w:lineRule="auto"/>
        <w:ind w:firstLine="6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10.1.</w:t>
      </w:r>
      <w:r>
        <w:rPr>
          <w:rFonts w:ascii="宋体" w:hAnsi="宋体" w:cs="宋体"/>
          <w:bCs/>
          <w:color w:val="000000" w:themeColor="text1"/>
          <w:sz w:val="24"/>
          <w:highlight w:val="none"/>
          <w:u w:val="single"/>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 xml:space="preserve"> 按照上述处理程序办理的工程变更均为有效变更；承包人须根据有效变更申报变更项目的综合单价，经发包人及监理单位确认后作为结算依据。承包人因没有遵守本条款，引起的任何返工，及其损失或工期延误都由承包人负责。</w:t>
      </w:r>
    </w:p>
    <w:p w14:paraId="36A4504D">
      <w:pPr>
        <w:spacing w:line="360" w:lineRule="auto"/>
        <w:ind w:firstLine="6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10.1.</w:t>
      </w:r>
      <w:r>
        <w:rPr>
          <w:rFonts w:ascii="宋体" w:hAnsi="宋体" w:cs="宋体"/>
          <w:bCs/>
          <w:color w:val="000000" w:themeColor="text1"/>
          <w:sz w:val="24"/>
          <w:highlight w:val="none"/>
          <w:u w:val="single"/>
          <w14:textFill>
            <w14:solidFill>
              <w14:schemeClr w14:val="tx1"/>
            </w14:solidFill>
          </w14:textFill>
        </w:rPr>
        <w:t>6</w:t>
      </w:r>
      <w:r>
        <w:rPr>
          <w:rFonts w:hint="eastAsia" w:ascii="宋体" w:hAnsi="宋体" w:cs="宋体"/>
          <w:bCs/>
          <w:color w:val="000000" w:themeColor="text1"/>
          <w:sz w:val="24"/>
          <w:highlight w:val="none"/>
          <w:u w:val="single"/>
          <w14:textFill>
            <w14:solidFill>
              <w14:schemeClr w14:val="tx1"/>
            </w14:solidFill>
          </w14:textFill>
        </w:rPr>
        <w:t xml:space="preserve"> 对于承包人提出的工程变更，监理单位、设计单位（有需要时）、发包人审核的总体时限为 7 日（自监理单位签收之日起计算）。</w:t>
      </w:r>
    </w:p>
    <w:p w14:paraId="7BDAFF11">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10.4 变更估价</w:t>
      </w:r>
    </w:p>
    <w:p w14:paraId="12068CCE">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10.4.1 变更估价原则</w:t>
      </w:r>
    </w:p>
    <w:p w14:paraId="265A2208">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关于变更估价的约定:</w:t>
      </w:r>
      <w:r>
        <w:rPr>
          <w:rFonts w:hint="eastAsia" w:ascii="宋体" w:hAnsi="宋体" w:cs="宋体"/>
          <w:bCs/>
          <w:color w:val="000000" w:themeColor="text1"/>
          <w:sz w:val="24"/>
          <w:highlight w:val="none"/>
          <w:u w:val="single"/>
          <w14:textFill>
            <w14:solidFill>
              <w14:schemeClr w14:val="tx1"/>
            </w14:solidFill>
          </w14:textFill>
        </w:rPr>
        <w:t xml:space="preserve"> 工程量按实际发生量计量。工程量增减不影响合同单价（即为单价包干），除非合同另有约定。</w:t>
      </w:r>
    </w:p>
    <w:p w14:paraId="5463F419">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增加部分工程量的项目单价：</w:t>
      </w:r>
    </w:p>
    <w:p w14:paraId="1E0619E8">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1）工程变更洽商的项目与</w:t>
      </w:r>
      <w:r>
        <w:rPr>
          <w:rFonts w:hint="eastAsia" w:ascii="宋体" w:hAnsi="宋体" w:cs="宋体"/>
          <w:bCs/>
          <w:color w:val="000000" w:themeColor="text1"/>
          <w:sz w:val="24"/>
          <w:highlight w:val="none"/>
          <w:u w:val="single"/>
          <w:lang w:val="en-US" w:eastAsia="zh-CN"/>
          <w14:textFill>
            <w14:solidFill>
              <w14:schemeClr w14:val="tx1"/>
            </w14:solidFill>
          </w14:textFill>
        </w:rPr>
        <w:t>中标预算</w:t>
      </w:r>
      <w:r>
        <w:rPr>
          <w:rFonts w:hint="eastAsia" w:ascii="宋体" w:hAnsi="宋体" w:cs="宋体"/>
          <w:bCs/>
          <w:color w:val="000000" w:themeColor="text1"/>
          <w:sz w:val="24"/>
          <w:highlight w:val="none"/>
          <w:u w:val="single"/>
          <w14:textFill>
            <w14:solidFill>
              <w14:schemeClr w14:val="tx1"/>
            </w14:solidFill>
          </w14:textFill>
        </w:rPr>
        <w:t>中项目内容相同时，新增项目单价按确认的已有子目的综合单价执行；与</w:t>
      </w:r>
      <w:r>
        <w:rPr>
          <w:rFonts w:hint="eastAsia" w:ascii="宋体" w:hAnsi="宋体" w:cs="宋体"/>
          <w:bCs/>
          <w:color w:val="000000" w:themeColor="text1"/>
          <w:sz w:val="24"/>
          <w:highlight w:val="none"/>
          <w:u w:val="single"/>
          <w:lang w:val="en-US" w:eastAsia="zh-CN"/>
          <w14:textFill>
            <w14:solidFill>
              <w14:schemeClr w14:val="tx1"/>
            </w14:solidFill>
          </w14:textFill>
        </w:rPr>
        <w:t>中标预算</w:t>
      </w:r>
      <w:r>
        <w:rPr>
          <w:rFonts w:hint="eastAsia" w:ascii="宋体" w:hAnsi="宋体" w:cs="宋体"/>
          <w:bCs/>
          <w:color w:val="000000" w:themeColor="text1"/>
          <w:sz w:val="24"/>
          <w:highlight w:val="none"/>
          <w:u w:val="single"/>
          <w14:textFill>
            <w14:solidFill>
              <w14:schemeClr w14:val="tx1"/>
            </w14:solidFill>
          </w14:textFill>
        </w:rPr>
        <w:t>中项目内容无相同但有近似的，参照确认的已有子目相近的综合单价，由承包人报监理工程师及发包人审核后按确认的综合单价执行；与</w:t>
      </w:r>
      <w:r>
        <w:rPr>
          <w:rFonts w:hint="eastAsia" w:ascii="宋体" w:hAnsi="宋体" w:cs="宋体"/>
          <w:bCs/>
          <w:color w:val="000000" w:themeColor="text1"/>
          <w:sz w:val="24"/>
          <w:highlight w:val="none"/>
          <w:u w:val="single"/>
          <w:lang w:val="en-US" w:eastAsia="zh-CN"/>
          <w14:textFill>
            <w14:solidFill>
              <w14:schemeClr w14:val="tx1"/>
            </w14:solidFill>
          </w14:textFill>
        </w:rPr>
        <w:t>中标预算</w:t>
      </w:r>
      <w:r>
        <w:rPr>
          <w:rFonts w:hint="eastAsia" w:ascii="宋体" w:hAnsi="宋体" w:cs="宋体"/>
          <w:bCs/>
          <w:color w:val="000000" w:themeColor="text1"/>
          <w:sz w:val="24"/>
          <w:highlight w:val="none"/>
          <w:u w:val="single"/>
          <w14:textFill>
            <w14:solidFill>
              <w14:schemeClr w14:val="tx1"/>
            </w14:solidFill>
          </w14:textFill>
        </w:rPr>
        <w:t>中项目内容无相同或相近的，由承包人报监理工程师、发包人审核后按确认的综合单价执行。</w:t>
      </w:r>
    </w:p>
    <w:p w14:paraId="69676C43">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2）本工程材料价均不做调整（政策性调整情况除外）。</w:t>
      </w:r>
    </w:p>
    <w:p w14:paraId="082C40C8">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Start w:id="262" w:name="_Toc297120497"/>
      <w:bookmarkStart w:id="263" w:name="_Toc296944536"/>
      <w:bookmarkStart w:id="264" w:name="_Toc296891237"/>
      <w:bookmarkStart w:id="265" w:name="_Toc297216203"/>
      <w:bookmarkStart w:id="266" w:name="_Toc297048383"/>
      <w:bookmarkStart w:id="267" w:name="_Toc300934993"/>
      <w:bookmarkStart w:id="268" w:name="_Toc296346698"/>
      <w:bookmarkStart w:id="269" w:name="_Toc303539150"/>
      <w:bookmarkStart w:id="270" w:name="_Toc292559402"/>
      <w:bookmarkStart w:id="271" w:name="_Toc296347196"/>
      <w:bookmarkStart w:id="272" w:name="_Toc297123544"/>
      <w:bookmarkStart w:id="273" w:name="_Toc296503197"/>
      <w:bookmarkStart w:id="274" w:name="_Toc292559907"/>
      <w:bookmarkStart w:id="275" w:name="_Toc296891025"/>
      <w:bookmarkStart w:id="276" w:name="_Toc304295570"/>
      <w:bookmarkStart w:id="277" w:name="_Toc312678029"/>
      <w:bookmarkStart w:id="278" w:name="_Toc312677503"/>
      <w:r>
        <w:rPr>
          <w:rFonts w:hint="eastAsia" w:ascii="宋体" w:hAnsi="宋体" w:cs="宋体"/>
          <w:bCs/>
          <w:color w:val="000000" w:themeColor="text1"/>
          <w:sz w:val="24"/>
          <w:highlight w:val="none"/>
          <w14:textFill>
            <w14:solidFill>
              <w14:schemeClr w14:val="tx1"/>
            </w14:solidFill>
          </w14:textFill>
        </w:rPr>
        <w:t>0.5承</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Start w:id="279" w:name="_Toc296346704"/>
      <w:bookmarkStart w:id="280" w:name="_Toc303539151"/>
      <w:bookmarkStart w:id="281" w:name="_Toc296944542"/>
      <w:bookmarkStart w:id="282" w:name="_Toc292559913"/>
      <w:bookmarkStart w:id="283" w:name="_Toc297123545"/>
      <w:bookmarkStart w:id="284" w:name="_Toc296891031"/>
      <w:bookmarkStart w:id="285" w:name="_Toc297216204"/>
      <w:bookmarkStart w:id="286" w:name="_Toc297048389"/>
      <w:bookmarkStart w:id="287" w:name="_Toc297120503"/>
      <w:bookmarkStart w:id="288" w:name="_Toc296891243"/>
      <w:bookmarkStart w:id="289" w:name="_Toc292559408"/>
      <w:bookmarkStart w:id="290" w:name="_Toc296347202"/>
      <w:bookmarkStart w:id="291" w:name="_Toc300934994"/>
      <w:bookmarkStart w:id="292" w:name="_Toc296503203"/>
      <w:r>
        <w:rPr>
          <w:rFonts w:hint="eastAsia" w:ascii="宋体" w:hAnsi="宋体" w:cs="宋体"/>
          <w:bCs/>
          <w:color w:val="000000" w:themeColor="text1"/>
          <w:sz w:val="24"/>
          <w:highlight w:val="none"/>
          <w14:textFill>
            <w14:solidFill>
              <w14:schemeClr w14:val="tx1"/>
            </w14:solidFill>
          </w14:textFill>
        </w:rPr>
        <w:t>包人的合理化建议</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14:paraId="33E8845E">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监理人审查承包人合理化建议的期限：</w:t>
      </w:r>
      <w:r>
        <w:rPr>
          <w:rFonts w:hint="eastAsia" w:ascii="宋体" w:hAnsi="宋体" w:cs="宋体"/>
          <w:bCs/>
          <w:color w:val="000000" w:themeColor="text1"/>
          <w:sz w:val="24"/>
          <w:highlight w:val="none"/>
          <w:u w:val="single"/>
          <w14:textFill>
            <w14:solidFill>
              <w14:schemeClr w14:val="tx1"/>
            </w14:solidFill>
          </w14:textFill>
        </w:rPr>
        <w:t xml:space="preserve"> 7天内 </w:t>
      </w:r>
      <w:r>
        <w:rPr>
          <w:rFonts w:hint="eastAsia" w:ascii="宋体" w:hAnsi="宋体" w:cs="宋体"/>
          <w:bCs/>
          <w:color w:val="000000" w:themeColor="text1"/>
          <w:sz w:val="24"/>
          <w:highlight w:val="none"/>
          <w14:textFill>
            <w14:solidFill>
              <w14:schemeClr w14:val="tx1"/>
            </w14:solidFill>
          </w14:textFill>
        </w:rPr>
        <w:t>。</w:t>
      </w:r>
    </w:p>
    <w:p w14:paraId="5A9453DD">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发包人审批承包人合理化建议的期限：</w:t>
      </w:r>
      <w:r>
        <w:rPr>
          <w:rFonts w:hint="eastAsia" w:ascii="宋体" w:hAnsi="宋体" w:cs="宋体"/>
          <w:bCs/>
          <w:color w:val="000000" w:themeColor="text1"/>
          <w:sz w:val="24"/>
          <w:highlight w:val="none"/>
          <w:u w:val="single"/>
          <w14:textFill>
            <w14:solidFill>
              <w14:schemeClr w14:val="tx1"/>
            </w14:solidFill>
          </w14:textFill>
        </w:rPr>
        <w:t xml:space="preserve"> 7天内 </w:t>
      </w:r>
      <w:r>
        <w:rPr>
          <w:rFonts w:hint="eastAsia" w:ascii="宋体" w:hAnsi="宋体" w:cs="宋体"/>
          <w:bCs/>
          <w:color w:val="000000" w:themeColor="text1"/>
          <w:sz w:val="24"/>
          <w:highlight w:val="none"/>
          <w14:textFill>
            <w14:solidFill>
              <w14:schemeClr w14:val="tx1"/>
            </w14:solidFill>
          </w14:textFill>
        </w:rPr>
        <w:t>。</w:t>
      </w:r>
    </w:p>
    <w:p w14:paraId="3EA4710B">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w:t>
      </w:r>
      <w:bookmarkStart w:id="293" w:name="_Toc318581175"/>
      <w:bookmarkStart w:id="294" w:name="_Toc292559409"/>
      <w:bookmarkStart w:id="295" w:name="_Toc296503204"/>
      <w:bookmarkStart w:id="296" w:name="_Toc297048390"/>
      <w:bookmarkStart w:id="297" w:name="_Toc297120504"/>
      <w:bookmarkStart w:id="298" w:name="_Toc297123546"/>
      <w:bookmarkStart w:id="299" w:name="_Toc296944543"/>
      <w:bookmarkStart w:id="300" w:name="_Toc312677504"/>
      <w:bookmarkStart w:id="301" w:name="_Toc296891244"/>
      <w:bookmarkStart w:id="302" w:name="_Toc303539152"/>
      <w:bookmarkStart w:id="303" w:name="_Toc296891032"/>
      <w:bookmarkStart w:id="304" w:name="_Toc312678030"/>
      <w:bookmarkStart w:id="305" w:name="_Toc296346705"/>
      <w:bookmarkStart w:id="306" w:name="_Toc297216205"/>
      <w:bookmarkStart w:id="307" w:name="_Toc292559914"/>
      <w:bookmarkStart w:id="308" w:name="_Toc304295571"/>
      <w:bookmarkStart w:id="309" w:name="_Toc300934995"/>
      <w:bookmarkStart w:id="310" w:name="_Toc296347203"/>
      <w:r>
        <w:rPr>
          <w:rFonts w:hint="eastAsia" w:ascii="宋体" w:hAnsi="宋体" w:cs="宋体"/>
          <w:bCs/>
          <w:color w:val="000000" w:themeColor="text1"/>
          <w:sz w:val="24"/>
          <w:highlight w:val="none"/>
          <w14:textFill>
            <w14:solidFill>
              <w14:schemeClr w14:val="tx1"/>
            </w14:solidFill>
          </w14:textFill>
        </w:rPr>
        <w:t>包人提出的合理化建议降低了合同价格或者提高了工程经济效益的奖励的方法和金额为：</w:t>
      </w:r>
    </w:p>
    <w:p w14:paraId="6029CA90">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1B771F61">
      <w:pPr>
        <w:spacing w:line="360" w:lineRule="auto"/>
        <w:ind w:firstLine="480" w:firstLineChars="200"/>
        <w:jc w:val="left"/>
        <w:rPr>
          <w:rFonts w:hint="eastAsia" w:ascii="宋体" w:hAnsi="宋体" w:cs="宋体" w:eastAsiaTheme="minorEastAsia"/>
          <w:bCs/>
          <w:color w:val="000000" w:themeColor="text1"/>
          <w:sz w:val="24"/>
          <w:highlight w:val="none"/>
          <w:lang w:eastAsia="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10.8 暂列金额</w:t>
      </w: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 xml:space="preserve">   </w:t>
      </w:r>
    </w:p>
    <w:p w14:paraId="79E51654">
      <w:pPr>
        <w:spacing w:line="360" w:lineRule="auto"/>
        <w:ind w:firstLine="480"/>
        <w:rPr>
          <w:rFonts w:ascii="宋体" w:hAnsi="宋体" w:cs="宋体"/>
          <w:color w:val="000000" w:themeColor="text1"/>
          <w:sz w:val="24"/>
          <w:highlight w:val="none"/>
          <w14:textFill>
            <w14:solidFill>
              <w14:schemeClr w14:val="tx1"/>
            </w14:solidFill>
          </w14:textFill>
        </w:rPr>
      </w:pPr>
      <w:bookmarkStart w:id="311" w:name="_Toc351203643"/>
      <w:r>
        <w:rPr>
          <w:rFonts w:hint="eastAsia" w:ascii="宋体" w:hAnsi="宋体" w:cs="宋体"/>
          <w:color w:val="000000" w:themeColor="text1"/>
          <w:sz w:val="24"/>
          <w:highlight w:val="none"/>
          <w14:textFill>
            <w14:solidFill>
              <w14:schemeClr w14:val="tx1"/>
            </w14:solidFill>
          </w14:textFill>
        </w:rPr>
        <w:t>11. 价格调整</w:t>
      </w:r>
      <w:bookmarkEnd w:id="311"/>
    </w:p>
    <w:p w14:paraId="642708F6">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bookmarkStart w:id="312" w:name="_Toc303539157"/>
      <w:bookmarkStart w:id="313" w:name="_Toc296891241"/>
      <w:bookmarkStart w:id="314" w:name="_Toc296944540"/>
      <w:bookmarkStart w:id="315" w:name="_Toc296503201"/>
      <w:bookmarkStart w:id="316" w:name="_Toc296891029"/>
      <w:bookmarkStart w:id="317" w:name="_Toc292559911"/>
      <w:bookmarkStart w:id="318" w:name="_Toc297216209"/>
      <w:bookmarkStart w:id="319" w:name="_Toc297120501"/>
      <w:bookmarkStart w:id="320" w:name="_Toc300935000"/>
      <w:bookmarkStart w:id="321" w:name="_Toc312678039"/>
      <w:bookmarkStart w:id="322" w:name="_Toc297123550"/>
      <w:bookmarkStart w:id="323" w:name="_Toc292559406"/>
      <w:bookmarkStart w:id="324" w:name="_Toc296346702"/>
      <w:bookmarkStart w:id="325" w:name="_Toc304295577"/>
      <w:bookmarkStart w:id="326" w:name="_Toc296347200"/>
      <w:bookmarkStart w:id="327" w:name="_Toc297048387"/>
      <w:r>
        <w:rPr>
          <w:rFonts w:hint="eastAsia" w:ascii="宋体" w:hAnsi="宋体" w:cs="宋体"/>
          <w:bCs/>
          <w:color w:val="000000" w:themeColor="text1"/>
          <w:sz w:val="24"/>
          <w:highlight w:val="none"/>
          <w14:textFill>
            <w14:solidFill>
              <w14:schemeClr w14:val="tx1"/>
            </w14:solidFill>
          </w14:textFill>
        </w:rPr>
        <w:t>11.1 市场价格波动引起的调整</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33F25268">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市场</w:t>
      </w:r>
      <w:r>
        <w:rPr>
          <w:rFonts w:hint="eastAsia" w:ascii="宋体" w:hAnsi="宋体" w:cs="宋体"/>
          <w:bCs/>
          <w:color w:val="000000" w:themeColor="text1"/>
          <w:sz w:val="24"/>
          <w:highlight w:val="none"/>
          <w14:textFill>
            <w14:solidFill>
              <w14:schemeClr w14:val="tx1"/>
            </w14:solidFill>
          </w14:textFill>
        </w:rPr>
        <w:t>价格波动是否调整合同价格的约定：</w:t>
      </w:r>
      <w:r>
        <w:rPr>
          <w:rFonts w:hint="eastAsia" w:ascii="宋体" w:hAnsi="宋体" w:cs="宋体"/>
          <w:bCs/>
          <w:color w:val="000000" w:themeColor="text1"/>
          <w:sz w:val="24"/>
          <w:highlight w:val="none"/>
          <w:u w:val="single"/>
          <w14:textFill>
            <w14:solidFill>
              <w14:schemeClr w14:val="tx1"/>
            </w14:solidFill>
          </w14:textFill>
        </w:rPr>
        <w:t>承包人应充分考虑合同执行期间因材料上涨、市场价格波动影响成本的情形及可能引起施工成本增加的风险，合同价款不会因此而调整。</w:t>
      </w:r>
    </w:p>
    <w:bookmarkEnd w:id="238"/>
    <w:bookmarkEnd w:id="239"/>
    <w:bookmarkEnd w:id="240"/>
    <w:bookmarkEnd w:id="241"/>
    <w:bookmarkEnd w:id="242"/>
    <w:bookmarkEnd w:id="243"/>
    <w:p w14:paraId="3F177B01">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bookmarkStart w:id="328" w:name="_Toc296346706"/>
      <w:bookmarkStart w:id="329" w:name="_Toc296891033"/>
      <w:bookmarkStart w:id="330" w:name="_Toc297048391"/>
      <w:bookmarkStart w:id="331" w:name="_Toc296891245"/>
      <w:bookmarkStart w:id="332" w:name="_Toc292559915"/>
      <w:bookmarkStart w:id="333" w:name="_Toc297120505"/>
      <w:bookmarkStart w:id="334" w:name="_Toc296503205"/>
      <w:bookmarkStart w:id="335" w:name="_Toc296347204"/>
      <w:bookmarkStart w:id="336" w:name="_Toc296944544"/>
      <w:bookmarkStart w:id="337" w:name="_Toc292559410"/>
      <w:bookmarkStart w:id="338" w:name="_Toc351203644"/>
      <w:bookmarkStart w:id="339" w:name="_Toc300935002"/>
      <w:bookmarkStart w:id="340" w:name="_Toc297216211"/>
      <w:bookmarkStart w:id="341" w:name="_Toc297123552"/>
      <w:bookmarkStart w:id="342" w:name="_Toc312678040"/>
      <w:bookmarkStart w:id="343" w:name="_Toc304295579"/>
      <w:bookmarkStart w:id="344" w:name="_Toc303539159"/>
      <w:r>
        <w:rPr>
          <w:rFonts w:hint="eastAsia" w:ascii="宋体" w:hAnsi="宋体" w:cs="宋体"/>
          <w:bCs/>
          <w:color w:val="000000" w:themeColor="text1"/>
          <w:sz w:val="24"/>
          <w:highlight w:val="none"/>
          <w14:textFill>
            <w14:solidFill>
              <w14:schemeClr w14:val="tx1"/>
            </w14:solidFill>
          </w14:textFill>
        </w:rPr>
        <w:t xml:space="preserve">12. </w:t>
      </w:r>
      <w:bookmarkEnd w:id="328"/>
      <w:bookmarkEnd w:id="329"/>
      <w:bookmarkEnd w:id="330"/>
      <w:bookmarkEnd w:id="331"/>
      <w:bookmarkEnd w:id="332"/>
      <w:bookmarkEnd w:id="333"/>
      <w:bookmarkEnd w:id="334"/>
      <w:bookmarkEnd w:id="335"/>
      <w:bookmarkEnd w:id="336"/>
      <w:bookmarkEnd w:id="337"/>
      <w:r>
        <w:rPr>
          <w:rFonts w:hint="eastAsia" w:ascii="宋体" w:hAnsi="宋体" w:cs="宋体"/>
          <w:bCs/>
          <w:color w:val="000000" w:themeColor="text1"/>
          <w:sz w:val="24"/>
          <w:highlight w:val="none"/>
          <w14:textFill>
            <w14:solidFill>
              <w14:schemeClr w14:val="tx1"/>
            </w14:solidFill>
          </w14:textFill>
        </w:rPr>
        <w:t>合同价格、计量与支付</w:t>
      </w:r>
      <w:bookmarkEnd w:id="338"/>
    </w:p>
    <w:bookmarkEnd w:id="339"/>
    <w:bookmarkEnd w:id="340"/>
    <w:bookmarkEnd w:id="341"/>
    <w:bookmarkEnd w:id="342"/>
    <w:bookmarkEnd w:id="343"/>
    <w:bookmarkEnd w:id="344"/>
    <w:p w14:paraId="3CA8432C">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bookmarkStart w:id="345" w:name="_Toc292559916"/>
      <w:bookmarkStart w:id="346" w:name="_Toc292559411"/>
      <w:bookmarkStart w:id="347" w:name="_Toc267251461"/>
      <w:bookmarkStart w:id="348" w:name="_Toc296346707"/>
      <w:bookmarkStart w:id="349" w:name="_Toc296347205"/>
      <w:bookmarkStart w:id="350" w:name="_Toc297048392"/>
      <w:bookmarkStart w:id="351" w:name="_Toc296503206"/>
      <w:bookmarkStart w:id="352" w:name="_Toc296891034"/>
      <w:bookmarkStart w:id="353" w:name="_Toc297120506"/>
      <w:bookmarkStart w:id="354" w:name="_Toc296944545"/>
      <w:bookmarkStart w:id="355" w:name="_Toc296891246"/>
      <w:bookmarkStart w:id="356" w:name="_Toc297123553"/>
      <w:bookmarkStart w:id="357" w:name="_Toc297216212"/>
      <w:bookmarkStart w:id="358" w:name="_Toc304295580"/>
      <w:bookmarkStart w:id="359" w:name="_Toc300935003"/>
      <w:bookmarkStart w:id="360" w:name="_Toc303539160"/>
      <w:bookmarkStart w:id="361" w:name="_Toc312678041"/>
      <w:r>
        <w:rPr>
          <w:rFonts w:hint="eastAsia" w:ascii="宋体" w:hAnsi="宋体" w:cs="宋体"/>
          <w:bCs/>
          <w:color w:val="000000" w:themeColor="text1"/>
          <w:sz w:val="24"/>
          <w:highlight w:val="none"/>
          <w14:textFill>
            <w14:solidFill>
              <w14:schemeClr w14:val="tx1"/>
            </w14:solidFill>
          </w14:textFill>
        </w:rPr>
        <w:t>12.1 合</w:t>
      </w:r>
      <w:bookmarkEnd w:id="345"/>
      <w:bookmarkEnd w:id="346"/>
      <w:bookmarkEnd w:id="347"/>
      <w:r>
        <w:rPr>
          <w:rFonts w:hint="eastAsia" w:ascii="宋体" w:hAnsi="宋体" w:cs="宋体"/>
          <w:bCs/>
          <w:color w:val="000000" w:themeColor="text1"/>
          <w:sz w:val="24"/>
          <w:highlight w:val="none"/>
          <w14:textFill>
            <w14:solidFill>
              <w14:schemeClr w14:val="tx1"/>
            </w14:solidFill>
          </w14:textFill>
        </w:rPr>
        <w:t>同价</w:t>
      </w:r>
      <w:bookmarkEnd w:id="348"/>
      <w:bookmarkEnd w:id="349"/>
      <w:bookmarkEnd w:id="350"/>
      <w:bookmarkEnd w:id="351"/>
      <w:bookmarkEnd w:id="352"/>
      <w:bookmarkEnd w:id="353"/>
      <w:bookmarkEnd w:id="354"/>
      <w:bookmarkEnd w:id="355"/>
      <w:r>
        <w:rPr>
          <w:rFonts w:hint="eastAsia" w:ascii="宋体" w:hAnsi="宋体" w:cs="宋体"/>
          <w:bCs/>
          <w:color w:val="000000" w:themeColor="text1"/>
          <w:sz w:val="24"/>
          <w:highlight w:val="none"/>
          <w14:textFill>
            <w14:solidFill>
              <w14:schemeClr w14:val="tx1"/>
            </w14:solidFill>
          </w14:textFill>
        </w:rPr>
        <w:t>格形式</w:t>
      </w:r>
    </w:p>
    <w:bookmarkEnd w:id="356"/>
    <w:bookmarkEnd w:id="357"/>
    <w:bookmarkEnd w:id="358"/>
    <w:bookmarkEnd w:id="359"/>
    <w:bookmarkEnd w:id="360"/>
    <w:bookmarkEnd w:id="361"/>
    <w:p w14:paraId="54A68F08">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12.1.</w:t>
      </w:r>
      <w:r>
        <w:rPr>
          <w:rFonts w:hint="eastAsia" w:ascii="宋体" w:hAnsi="宋体" w:cs="宋体"/>
          <w:bCs/>
          <w:color w:val="000000" w:themeColor="text1"/>
          <w:sz w:val="24"/>
          <w:highlight w:val="none"/>
          <w14:textFill>
            <w14:solidFill>
              <w14:schemeClr w14:val="tx1"/>
            </w14:solidFill>
          </w14:textFill>
        </w:rPr>
        <w:t>1</w:t>
      </w:r>
      <w:r>
        <w:rPr>
          <w:rFonts w:hint="eastAsia" w:ascii="宋体" w:hAnsi="宋体" w:cs="宋体"/>
          <w:bCs/>
          <w:color w:val="000000" w:themeColor="text1"/>
          <w:sz w:val="24"/>
          <w:highlight w:val="none"/>
          <w:lang w:val="en-US" w:eastAsia="zh-CN"/>
          <w14:textFill>
            <w14:solidFill>
              <w14:schemeClr w14:val="tx1"/>
            </w14:solidFill>
          </w14:textFill>
        </w:rPr>
        <w:t>固定综合</w:t>
      </w:r>
      <w:r>
        <w:rPr>
          <w:rFonts w:hint="eastAsia" w:ascii="宋体" w:hAnsi="宋体" w:cs="宋体"/>
          <w:bCs/>
          <w:color w:val="000000" w:themeColor="text1"/>
          <w:sz w:val="24"/>
          <w:highlight w:val="none"/>
          <w14:textFill>
            <w14:solidFill>
              <w14:schemeClr w14:val="tx1"/>
            </w14:solidFill>
          </w14:textFill>
        </w:rPr>
        <w:t>单价合同。</w:t>
      </w:r>
    </w:p>
    <w:p w14:paraId="5AA6CA65">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同价款包含合同内的全部费用(包含但不限于人工费、主材及设备费、辅材费、机械使用费、工程及材料设备所须的各种检测费及试验费、各种材料损耗费、材料运输费、装卸费、保管费、吊装、材料场内二次运输费、技术处理费、合同工期内赶工费、施工水电费、材料保险费、成品保护费、技术措施费、文明施工措施费、雨季及冬季或异常气候施工措施费、临时设施费及其它措施费、垃圾清运费用、系统调试验收、接驳费、协调费、工程保修、配合相关专业验收、绿建核查、专业人员培训、售后服务、质量保修服务、检测费用、市场风险及物价上涨、承包人应向施工总包单位缴纳</w:t>
      </w:r>
      <w:r>
        <w:rPr>
          <w:rFonts w:hint="eastAsia" w:ascii="宋体" w:hAnsi="宋体" w:cs="宋体"/>
          <w:bCs/>
          <w:color w:val="000000" w:themeColor="text1"/>
          <w:sz w:val="24"/>
          <w:highlight w:val="none"/>
          <w:lang w:val="en-US" w:eastAsia="zh-CN"/>
          <w14:textFill>
            <w14:solidFill>
              <w14:schemeClr w14:val="tx1"/>
            </w14:solidFill>
          </w14:textFill>
        </w:rPr>
        <w:t>的总承包</w:t>
      </w:r>
      <w:r>
        <w:rPr>
          <w:rFonts w:hint="eastAsia" w:ascii="宋体" w:hAnsi="宋体" w:cs="宋体"/>
          <w:bCs/>
          <w:color w:val="000000" w:themeColor="text1"/>
          <w:sz w:val="24"/>
          <w:highlight w:val="none"/>
          <w14:textFill>
            <w14:solidFill>
              <w14:schemeClr w14:val="tx1"/>
            </w14:solidFill>
          </w14:textFill>
        </w:rPr>
        <w:t>服务费、综合管理费、利润、规费、税金，以及本合同虽未提及但乙方在完成本工程过程中必须支付的与本工程相关的其他费用，包括因承包人原因未通过相关政府部门验收需整改而产生的相应费用，并考虑有经验承包商所应考虑的一切因素及风险）。</w:t>
      </w:r>
    </w:p>
    <w:p w14:paraId="495C2657">
      <w:pPr>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承包人应向施工总包单位缴纳</w:t>
      </w:r>
      <w:r>
        <w:rPr>
          <w:rFonts w:hint="eastAsia" w:ascii="宋体" w:hAnsi="宋体" w:cs="宋体"/>
          <w:bCs/>
          <w:color w:val="000000" w:themeColor="text1"/>
          <w:sz w:val="24"/>
          <w:highlight w:val="none"/>
          <w:lang w:val="en-US" w:eastAsia="zh-CN"/>
          <w14:textFill>
            <w14:solidFill>
              <w14:schemeClr w14:val="tx1"/>
            </w14:solidFill>
          </w14:textFill>
        </w:rPr>
        <w:t>总承包服务</w:t>
      </w:r>
      <w:r>
        <w:rPr>
          <w:rFonts w:hint="eastAsia" w:ascii="宋体" w:hAnsi="宋体" w:cs="宋体"/>
          <w:bCs/>
          <w:color w:val="000000" w:themeColor="text1"/>
          <w:sz w:val="24"/>
          <w:highlight w:val="none"/>
          <w14:textFill>
            <w14:solidFill>
              <w14:schemeClr w14:val="tx1"/>
            </w14:solidFill>
          </w14:textFill>
        </w:rPr>
        <w:t>费：</w:t>
      </w:r>
    </w:p>
    <w:p w14:paraId="3E9B944C">
      <w:pPr>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总承包服务</w:t>
      </w:r>
      <w:r>
        <w:rPr>
          <w:rFonts w:hint="eastAsia" w:ascii="宋体" w:hAnsi="宋体" w:cs="宋体"/>
          <w:bCs/>
          <w:color w:val="000000" w:themeColor="text1"/>
          <w:sz w:val="24"/>
          <w:highlight w:val="none"/>
          <w14:textFill>
            <w14:solidFill>
              <w14:schemeClr w14:val="tx1"/>
            </w14:solidFill>
          </w14:textFill>
        </w:rPr>
        <w:t>费=工程结算审定造价×3%（总承包</w:t>
      </w:r>
      <w:r>
        <w:rPr>
          <w:rFonts w:hint="eastAsia" w:ascii="宋体" w:hAnsi="宋体" w:cs="宋体"/>
          <w:bCs/>
          <w:color w:val="000000" w:themeColor="text1"/>
          <w:sz w:val="24"/>
          <w:highlight w:val="none"/>
          <w:lang w:val="en-US" w:eastAsia="zh-CN"/>
          <w14:textFill>
            <w14:solidFill>
              <w14:schemeClr w14:val="tx1"/>
            </w14:solidFill>
          </w14:textFill>
        </w:rPr>
        <w:t>服务</w:t>
      </w:r>
      <w:r>
        <w:rPr>
          <w:rFonts w:hint="eastAsia" w:ascii="宋体" w:hAnsi="宋体" w:cs="宋体"/>
          <w:bCs/>
          <w:color w:val="000000" w:themeColor="text1"/>
          <w:sz w:val="24"/>
          <w:highlight w:val="none"/>
          <w14:textFill>
            <w14:solidFill>
              <w14:schemeClr w14:val="tx1"/>
            </w14:solidFill>
          </w14:textFill>
        </w:rPr>
        <w:t>费已包含在合同价中，不在另行计取）</w:t>
      </w:r>
    </w:p>
    <w:p w14:paraId="6706D6F7">
      <w:pPr>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总承包服务及配合工作包含内容：①对分包的专业工程进行总承包管理、协调和配合工作；②协助发包人组织各分包专业进行图纸综合会审，协调解决因图纸问题导致各专业分包单位内部及其不同单位间产生的问题和存在的困难；③在施工脚手架尚未拆除前，总承包单位应向各分包单位无条件提供现有的施工脚手架、排栅和现成的爬梯等设施使用。④对分包单位在施工场地的临建设施、材料及设备堆放布局等进行合理安排，并对现场容貌进行管理；⑤协调各分包单位施工顺序，设备材料进场时间，车辆流量控制，现场施工临时道路统一规划及使用期的维修保养，且必须符合建设主管部门规定；⑥向各专业分包单位提供用水、用电接驳口（水、电费由各专业分包单位承担）；⑦为各分包单位提供轴线和标高的控制点，以供各分包单位作施工定位和高程使用；⑧为各专业分包单位资料归档提供配合（含需要总承包单位配合进行资料盖章等）。</w:t>
      </w:r>
    </w:p>
    <w:p w14:paraId="50CB54A4">
      <w:pPr>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本工程竣工结算完成后，承包人应向施工总包单位支付</w:t>
      </w:r>
      <w:r>
        <w:rPr>
          <w:rFonts w:hint="eastAsia" w:ascii="宋体" w:hAnsi="宋体" w:cs="宋体"/>
          <w:bCs/>
          <w:color w:val="000000" w:themeColor="text1"/>
          <w:sz w:val="24"/>
          <w:highlight w:val="none"/>
          <w:lang w:val="en-US" w:eastAsia="zh-CN"/>
          <w14:textFill>
            <w14:solidFill>
              <w14:schemeClr w14:val="tx1"/>
            </w14:solidFill>
          </w14:textFill>
        </w:rPr>
        <w:t>总承包服务</w:t>
      </w:r>
      <w:r>
        <w:rPr>
          <w:rFonts w:hint="eastAsia" w:ascii="宋体" w:hAnsi="宋体" w:cs="宋体"/>
          <w:bCs/>
          <w:color w:val="000000" w:themeColor="text1"/>
          <w:sz w:val="24"/>
          <w:highlight w:val="none"/>
          <w14:textFill>
            <w14:solidFill>
              <w14:schemeClr w14:val="tx1"/>
            </w14:solidFill>
          </w14:textFill>
        </w:rPr>
        <w:t>费，该费用发包人有权向施工总包单位代付，施工总包单位应出具该部分费用的正式发票。</w:t>
      </w:r>
    </w:p>
    <w:p w14:paraId="5662FD09">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综合单价包含的风险范围：</w:t>
      </w:r>
      <w:r>
        <w:rPr>
          <w:rFonts w:hint="eastAsia" w:ascii="宋体" w:hAnsi="宋体" w:cs="宋体"/>
          <w:bCs/>
          <w:color w:val="000000" w:themeColor="text1"/>
          <w:sz w:val="24"/>
          <w:highlight w:val="none"/>
          <w:u w:val="single"/>
          <w14:textFill>
            <w14:solidFill>
              <w14:schemeClr w14:val="tx1"/>
            </w14:solidFill>
          </w14:textFill>
        </w:rPr>
        <w:t>合同中确定的各项单价在工程实施中不因人工费、材料费、机械费社会价格浮动、气候条件的变化、承包方投标时漏报以及报价失误以及其他意外困难等因素而调整（如项目实施期间，国家出台人工费及税率的调整文件，按文件规定调整，清单计价规范、消耗量定额等计价文件仍执行计价依据约定，不做调整）。各类管理费用的计算均己在综合单价中考虑。</w:t>
      </w:r>
    </w:p>
    <w:p w14:paraId="055AE543">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措施清单项目中，除按费率计价的措施费及脚手架、砼模板外，其余措施项目清单全部包干，不因实际内容的变化而调整。费率计价项调整原则：若因分部分项费用增减致使措施费增减时，按中标费率按实调整结算；脚手架、砼模板调整原则：若因最终结算工程量与原招标清单工程量或招标图纸计算量相比发生增减，致使措施费增减时，仅调整增减部分措施费，按照中标单价结算。</w:t>
      </w:r>
    </w:p>
    <w:p w14:paraId="2E41C162">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因工程需要运至现场的黄土覆盖费用已包含在承包人安全文明施工措施费中（承包人投标报价时应考虑该因素），现场施工过程中发包人不再单独计取此项费用（覆盖工作由承包人实施，费用由承包人承担；覆盖以达到西安市检查要求为标准）。</w:t>
      </w:r>
    </w:p>
    <w:p w14:paraId="688C01B9">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ascii="宋体" w:hAnsi="宋体" w:cs="宋体"/>
          <w:bCs/>
          <w:color w:val="000000" w:themeColor="text1"/>
          <w:sz w:val="24"/>
          <w:highlight w:val="none"/>
          <w:u w:val="single"/>
          <w14:textFill>
            <w14:solidFill>
              <w14:schemeClr w14:val="tx1"/>
            </w14:solidFill>
          </w14:textFill>
        </w:rPr>
        <w:t>本工程所有材料、机械均由承包人自主报价，材料、机械价格以合同价为准，承包人自行承担价格风险，</w:t>
      </w:r>
      <w:r>
        <w:rPr>
          <w:rFonts w:hint="eastAsia" w:ascii="宋体" w:hAnsi="宋体" w:cs="宋体"/>
          <w:bCs/>
          <w:color w:val="000000" w:themeColor="text1"/>
          <w:sz w:val="24"/>
          <w:highlight w:val="none"/>
          <w:u w:val="single"/>
          <w14:textFill>
            <w14:solidFill>
              <w14:schemeClr w14:val="tx1"/>
            </w14:solidFill>
          </w14:textFill>
        </w:rPr>
        <w:t>发包人</w:t>
      </w:r>
      <w:r>
        <w:rPr>
          <w:rFonts w:ascii="宋体" w:hAnsi="宋体" w:cs="宋体"/>
          <w:bCs/>
          <w:color w:val="000000" w:themeColor="text1"/>
          <w:sz w:val="24"/>
          <w:highlight w:val="none"/>
          <w:u w:val="single"/>
          <w14:textFill>
            <w14:solidFill>
              <w14:schemeClr w14:val="tx1"/>
            </w14:solidFill>
          </w14:textFill>
        </w:rPr>
        <w:t>均不予调价</w:t>
      </w:r>
      <w:r>
        <w:rPr>
          <w:rFonts w:hint="eastAsia" w:ascii="宋体" w:hAnsi="宋体" w:cs="宋体"/>
          <w:bCs/>
          <w:color w:val="000000" w:themeColor="text1"/>
          <w:sz w:val="24"/>
          <w:highlight w:val="none"/>
          <w:u w:val="single"/>
          <w14:textFill>
            <w14:solidFill>
              <w14:schemeClr w14:val="tx1"/>
            </w14:solidFill>
          </w14:textFill>
        </w:rPr>
        <w:t>；</w:t>
      </w:r>
      <w:r>
        <w:rPr>
          <w:rFonts w:ascii="宋体" w:hAnsi="宋体" w:cs="宋体"/>
          <w:bCs/>
          <w:color w:val="000000" w:themeColor="text1"/>
          <w:sz w:val="24"/>
          <w:highlight w:val="none"/>
          <w:u w:val="single"/>
          <w14:textFill>
            <w14:solidFill>
              <w14:schemeClr w14:val="tx1"/>
            </w14:solidFill>
          </w14:textFill>
        </w:rPr>
        <w:t>与工程所在地村组的协调、安排等情况不作为单价调整的依据，工程竣工结算时，以合同约定单价为准，材料、机械单价不予调整。</w:t>
      </w:r>
    </w:p>
    <w:p w14:paraId="320A3991">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承包人所用材料未经发包人签字确认，擅自进场，发包人有权要求承包人将该材料全部拆除、清除出场，若已进场材料能够满足设计、使用要求，发包人可以指令单形式直接进行认价，承包人需无条件接受。</w:t>
      </w:r>
    </w:p>
    <w:p w14:paraId="658127CC">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风险费用的计算方法：</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5812B972">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风险范围以外合同价格的调整方法：</w:t>
      </w:r>
      <w:r>
        <w:rPr>
          <w:rFonts w:hint="eastAsia" w:ascii="宋体" w:hAnsi="宋体" w:cs="宋体"/>
          <w:bCs/>
          <w:color w:val="000000" w:themeColor="text1"/>
          <w:sz w:val="24"/>
          <w:highlight w:val="none"/>
          <w:u w:val="single"/>
          <w14:textFill>
            <w14:solidFill>
              <w14:schemeClr w14:val="tx1"/>
            </w14:solidFill>
          </w14:textFill>
        </w:rPr>
        <w:t>若政府相关部门出台人工费调整政策，则以政策实施之日作为起调节点日期（即为该日期之后的施工项目为调整对象），以调整后新的人工费标准对合同约定项目的人工费调整差价，差价部分不计入综合单价，只计取相应差价及差价部分的规费和税金。</w:t>
      </w:r>
    </w:p>
    <w:p w14:paraId="0D8E42D7">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双方约定合同价款的其他调整因素：</w:t>
      </w:r>
      <w:r>
        <w:rPr>
          <w:rFonts w:hint="eastAsia" w:ascii="宋体" w:hAnsi="宋体" w:cs="宋体"/>
          <w:bCs/>
          <w:color w:val="000000" w:themeColor="text1"/>
          <w:sz w:val="24"/>
          <w:highlight w:val="none"/>
          <w:u w:val="single"/>
          <w14:textFill>
            <w14:solidFill>
              <w14:schemeClr w14:val="tx1"/>
            </w14:solidFill>
          </w14:textFill>
        </w:rPr>
        <w:t>除上述约定外综合单价均不调整。</w:t>
      </w:r>
    </w:p>
    <w:p w14:paraId="44EAFE29">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bookmarkStart w:id="362" w:name="_Toc300935004"/>
      <w:bookmarkStart w:id="363" w:name="_Toc303539161"/>
      <w:bookmarkStart w:id="364" w:name="_Toc304295581"/>
      <w:bookmarkStart w:id="365" w:name="_Toc297216213"/>
      <w:bookmarkStart w:id="366" w:name="_Toc297123554"/>
      <w:bookmarkStart w:id="367" w:name="_Toc312678042"/>
      <w:bookmarkStart w:id="368" w:name="_Toc296891035"/>
      <w:bookmarkStart w:id="369" w:name="_Toc297120507"/>
      <w:bookmarkStart w:id="370" w:name="_Toc292559412"/>
      <w:bookmarkStart w:id="371" w:name="_Toc297048393"/>
      <w:bookmarkStart w:id="372" w:name="_Toc296346708"/>
      <w:bookmarkStart w:id="373" w:name="_Toc292559917"/>
      <w:bookmarkStart w:id="374" w:name="_Toc296503207"/>
      <w:bookmarkStart w:id="375" w:name="_Toc296347206"/>
      <w:bookmarkStart w:id="376" w:name="_Toc296944546"/>
      <w:bookmarkStart w:id="377" w:name="_Toc296891247"/>
      <w:r>
        <w:rPr>
          <w:rFonts w:hint="eastAsia" w:ascii="宋体" w:hAnsi="宋体" w:cs="宋体"/>
          <w:bCs/>
          <w:color w:val="000000" w:themeColor="text1"/>
          <w:sz w:val="24"/>
          <w:highlight w:val="none"/>
          <w14:textFill>
            <w14:solidFill>
              <w14:schemeClr w14:val="tx1"/>
            </w14:solidFill>
          </w14:textFill>
        </w:rPr>
        <w:t>12.2 预付款</w:t>
      </w:r>
    </w:p>
    <w:bookmarkEnd w:id="362"/>
    <w:bookmarkEnd w:id="363"/>
    <w:bookmarkEnd w:id="364"/>
    <w:bookmarkEnd w:id="365"/>
    <w:bookmarkEnd w:id="366"/>
    <w:bookmarkEnd w:id="367"/>
    <w:p w14:paraId="08068ECC">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12.2.1 预付款的支付</w:t>
      </w:r>
    </w:p>
    <w:p w14:paraId="4672AFC5">
      <w:pPr>
        <w:spacing w:line="360" w:lineRule="auto"/>
        <w:ind w:firstLine="480" w:firstLineChars="200"/>
        <w:jc w:val="left"/>
        <w:rPr>
          <w:rFonts w:hint="eastAsia"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发包人向承包人预付工程款的时间和金额或占合同价款总额的比例： 支付签约合同价扣除工程暂列金及安全文明施工措施费的</w:t>
      </w:r>
      <w:r>
        <w:rPr>
          <w:rFonts w:hint="eastAsia" w:ascii="宋体" w:hAnsi="宋体" w:cs="宋体"/>
          <w:bCs/>
          <w:color w:val="000000" w:themeColor="text1"/>
          <w:sz w:val="24"/>
          <w:highlight w:val="none"/>
          <w:u w:val="single"/>
          <w:lang w:val="en-US" w:eastAsia="zh-CN"/>
          <w14:textFill>
            <w14:solidFill>
              <w14:schemeClr w14:val="tx1"/>
            </w14:solidFill>
          </w14:textFill>
        </w:rPr>
        <w:t>10</w:t>
      </w:r>
      <w:r>
        <w:rPr>
          <w:rFonts w:hint="eastAsia" w:ascii="宋体" w:hAnsi="宋体" w:cs="宋体"/>
          <w:bCs/>
          <w:color w:val="000000" w:themeColor="text1"/>
          <w:sz w:val="24"/>
          <w:highlight w:val="none"/>
          <w:u w:val="single"/>
          <w14:textFill>
            <w14:solidFill>
              <w14:schemeClr w14:val="tx1"/>
            </w14:solidFill>
          </w14:textFill>
        </w:rPr>
        <w:t xml:space="preserve">%。 </w:t>
      </w:r>
    </w:p>
    <w:p w14:paraId="14B51B16">
      <w:pPr>
        <w:spacing w:line="360" w:lineRule="auto"/>
        <w:ind w:firstLine="480" w:firstLineChars="200"/>
        <w:jc w:val="left"/>
        <w:rPr>
          <w:rFonts w:hint="eastAsia"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预付款扣回的时间和比例:预付款在工程实施过程中，当工程进度款支付至签约合同价50%时，一次性扣除预付款。如当月的进度款额小于应扣除的预付款，扣除后不足部分在下月进度款中继续扣除，以此类推，扣完为止。但不得扣除已支付的安全文明施工措施费。</w:t>
      </w:r>
    </w:p>
    <w:bookmarkEnd w:id="368"/>
    <w:bookmarkEnd w:id="369"/>
    <w:bookmarkEnd w:id="370"/>
    <w:bookmarkEnd w:id="371"/>
    <w:bookmarkEnd w:id="372"/>
    <w:bookmarkEnd w:id="373"/>
    <w:bookmarkEnd w:id="374"/>
    <w:bookmarkEnd w:id="375"/>
    <w:bookmarkEnd w:id="376"/>
    <w:bookmarkEnd w:id="377"/>
    <w:p w14:paraId="791664D6">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12.3 计量</w:t>
      </w:r>
    </w:p>
    <w:p w14:paraId="7270B8A2">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12.3.1 计量原则</w:t>
      </w:r>
    </w:p>
    <w:p w14:paraId="3EDD6F63">
      <w:pPr>
        <w:spacing w:line="360" w:lineRule="auto"/>
        <w:ind w:firstLine="480" w:firstLineChars="200"/>
        <w:jc w:val="left"/>
        <w:rPr>
          <w:rFonts w:hint="eastAsia"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工程量计算规则：</w:t>
      </w:r>
      <w:r>
        <w:rPr>
          <w:rFonts w:hint="eastAsia" w:ascii="宋体" w:hAnsi="宋体" w:cs="宋体"/>
          <w:bCs/>
          <w:color w:val="000000" w:themeColor="text1"/>
          <w:sz w:val="24"/>
          <w:highlight w:val="none"/>
          <w:u w:val="single"/>
          <w14:textFill>
            <w14:solidFill>
              <w14:schemeClr w14:val="tx1"/>
            </w14:solidFill>
          </w14:textFill>
        </w:rPr>
        <w:t>依据国家和陕西省现行计价规则及相关规定</w:t>
      </w:r>
      <w:r>
        <w:rPr>
          <w:rFonts w:hint="eastAsia" w:ascii="宋体" w:hAnsi="宋体" w:cs="宋体"/>
          <w:bCs/>
          <w:color w:val="000000" w:themeColor="text1"/>
          <w:sz w:val="24"/>
          <w:highlight w:val="none"/>
          <w:lang w:eastAsia="zh-CN"/>
          <w14:textFill>
            <w14:solidFill>
              <w14:schemeClr w14:val="tx1"/>
            </w14:solidFill>
          </w14:textFill>
        </w:rPr>
        <w:t>。</w:t>
      </w:r>
    </w:p>
    <w:p w14:paraId="5D56A09F">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12.3.2 计量周期</w:t>
      </w:r>
    </w:p>
    <w:p w14:paraId="7351C40A">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关于计量周期的约定：</w:t>
      </w:r>
      <w:r>
        <w:rPr>
          <w:rFonts w:hint="eastAsia" w:ascii="宋体" w:hAnsi="宋体" w:cs="宋体"/>
          <w:bCs/>
          <w:color w:val="000000" w:themeColor="text1"/>
          <w:sz w:val="24"/>
          <w:highlight w:val="none"/>
          <w:u w:val="single"/>
          <w14:textFill>
            <w14:solidFill>
              <w14:schemeClr w14:val="tx1"/>
            </w14:solidFill>
          </w14:textFill>
        </w:rPr>
        <w:t>执行通用条款12.3.2</w:t>
      </w:r>
    </w:p>
    <w:p w14:paraId="78F53293">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12.3.3 单价合同的计量</w:t>
      </w:r>
    </w:p>
    <w:p w14:paraId="15B6D57A">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关于单价合同计量的约定：</w:t>
      </w:r>
      <w:r>
        <w:rPr>
          <w:rFonts w:hint="eastAsia" w:ascii="宋体" w:hAnsi="宋体" w:cs="宋体"/>
          <w:bCs/>
          <w:color w:val="000000" w:themeColor="text1"/>
          <w:sz w:val="24"/>
          <w:highlight w:val="none"/>
          <w:u w:val="single"/>
          <w14:textFill>
            <w14:solidFill>
              <w14:schemeClr w14:val="tx1"/>
            </w14:solidFill>
          </w14:textFill>
        </w:rPr>
        <w:t>执行通用条款12.3.3</w:t>
      </w:r>
    </w:p>
    <w:p w14:paraId="5ABC1F8B">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12.3.4 总价合同的计量</w:t>
      </w:r>
    </w:p>
    <w:p w14:paraId="6FD79C79">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关于总价合同计量的约定：</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3735B21E">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12.3.5总价合同采用支付分解表计量支付的，是否适用第</w:t>
      </w:r>
      <w:r>
        <w:rPr>
          <w:rFonts w:hint="eastAsia" w:ascii="宋体" w:hAnsi="宋体" w:cs="宋体"/>
          <w:bCs/>
          <w:color w:val="000000" w:themeColor="text1"/>
          <w:kern w:val="0"/>
          <w:sz w:val="24"/>
          <w:highlight w:val="none"/>
          <w14:textFill>
            <w14:solidFill>
              <w14:schemeClr w14:val="tx1"/>
            </w14:solidFill>
          </w14:textFill>
        </w:rPr>
        <w:t xml:space="preserve">12.3.4 </w:t>
      </w:r>
      <w:r>
        <w:rPr>
          <w:rFonts w:hint="eastAsia" w:ascii="宋体" w:hAnsi="宋体" w:cs="宋体"/>
          <w:bCs/>
          <w:color w:val="000000" w:themeColor="text1"/>
          <w:sz w:val="24"/>
          <w:highlight w:val="none"/>
          <w14:textFill>
            <w14:solidFill>
              <w14:schemeClr w14:val="tx1"/>
            </w14:solidFill>
          </w14:textFill>
        </w:rPr>
        <w:t>项</w:t>
      </w:r>
      <w:r>
        <w:rPr>
          <w:rFonts w:hint="eastAsia" w:ascii="宋体" w:hAnsi="宋体" w:cs="宋体"/>
          <w:bCs/>
          <w:color w:val="000000" w:themeColor="text1"/>
          <w:kern w:val="0"/>
          <w:sz w:val="24"/>
          <w:highlight w:val="none"/>
          <w14:textFill>
            <w14:solidFill>
              <w14:schemeClr w14:val="tx1"/>
            </w14:solidFill>
          </w14:textFill>
        </w:rPr>
        <w:t>〔总价合同的计量〕</w:t>
      </w:r>
      <w:r>
        <w:rPr>
          <w:rFonts w:hint="eastAsia" w:ascii="宋体" w:hAnsi="宋体" w:cs="宋体"/>
          <w:bCs/>
          <w:color w:val="000000" w:themeColor="text1"/>
          <w:sz w:val="24"/>
          <w:highlight w:val="none"/>
          <w14:textFill>
            <w14:solidFill>
              <w14:schemeClr w14:val="tx1"/>
            </w14:solidFill>
          </w14:textFill>
        </w:rPr>
        <w:t>约定进行计量：</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1039B70C">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12.3.6 其他价格形式合同的计量</w:t>
      </w:r>
    </w:p>
    <w:p w14:paraId="3D7B29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其他价格形式的计量方式和程序：</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1BBE4427">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12.4 工程进度款支付</w:t>
      </w:r>
    </w:p>
    <w:p w14:paraId="63DA14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工程进度款及结算支付的方式、时间和比例按如下约定：</w:t>
      </w:r>
    </w:p>
    <w:p w14:paraId="7396A8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（1）本工程按月支付承包人进度款，承包人每月20日前向监理人报送当月已完成合格工程形象进度及相应产值等资料，经监理、发包人审核确认后，按审定完成产值的80%支付工程进度款</w:t>
      </w:r>
      <w:r>
        <w:rPr>
          <w:rFonts w:hint="eastAsia" w:ascii="宋体" w:hAnsi="宋体" w:cs="宋体"/>
          <w:bCs/>
          <w:color w:val="000000" w:themeColor="text1"/>
          <w:sz w:val="24"/>
          <w:highlight w:val="none"/>
          <w:u w:val="single"/>
          <w:lang w:eastAsia="zh-CN"/>
          <w14:textFill>
            <w14:solidFill>
              <w14:schemeClr w14:val="tx1"/>
            </w14:solidFill>
          </w14:textFill>
        </w:rPr>
        <w:t>，</w:t>
      </w:r>
      <w:r>
        <w:rPr>
          <w:rFonts w:hint="eastAsia" w:ascii="宋体" w:hAnsi="宋体" w:cs="宋体"/>
          <w:bCs/>
          <w:color w:val="000000" w:themeColor="text1"/>
          <w:sz w:val="24"/>
          <w:highlight w:val="none"/>
          <w:u w:val="single"/>
          <w:lang w:val="en-US" w:eastAsia="zh-CN"/>
          <w14:textFill>
            <w14:solidFill>
              <w14:schemeClr w14:val="tx1"/>
            </w14:solidFill>
          </w14:textFill>
        </w:rPr>
        <w:t>竣工验收后工程进度款（含已支付的安全文明施工措施费）累计支付至合同暂定总价款的85%。</w:t>
      </w:r>
    </w:p>
    <w:p w14:paraId="6F4E723C">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w:t>
      </w:r>
      <w:r>
        <w:rPr>
          <w:rFonts w:ascii="宋体" w:hAnsi="宋体" w:cs="宋体"/>
          <w:bCs/>
          <w:color w:val="000000" w:themeColor="text1"/>
          <w:sz w:val="24"/>
          <w:highlight w:val="none"/>
          <w:u w:val="single"/>
          <w14:textFill>
            <w14:solidFill>
              <w14:schemeClr w14:val="tx1"/>
            </w14:solidFill>
          </w14:textFill>
        </w:rPr>
        <w:t>2</w:t>
      </w:r>
      <w:r>
        <w:rPr>
          <w:rFonts w:hint="eastAsia" w:ascii="宋体" w:hAnsi="宋体" w:cs="宋体"/>
          <w:bCs/>
          <w:color w:val="000000" w:themeColor="text1"/>
          <w:sz w:val="24"/>
          <w:highlight w:val="none"/>
          <w:u w:val="single"/>
          <w14:textFill>
            <w14:solidFill>
              <w14:schemeClr w14:val="tx1"/>
            </w14:solidFill>
          </w14:textFill>
        </w:rPr>
        <w:t>）工程进度款（含已支付的安全文明施工措施费）累计支付至合同暂定总价款的8</w:t>
      </w:r>
      <w:r>
        <w:rPr>
          <w:rFonts w:hint="eastAsia" w:ascii="宋体" w:hAnsi="宋体" w:cs="宋体"/>
          <w:bCs/>
          <w:color w:val="000000" w:themeColor="text1"/>
          <w:sz w:val="24"/>
          <w:highlight w:val="none"/>
          <w:u w:val="single"/>
          <w:lang w:val="en-US" w:eastAsia="zh-CN"/>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%时暂停支付</w:t>
      </w:r>
      <w:r>
        <w:rPr>
          <w:rFonts w:hint="eastAsia" w:ascii="宋体" w:hAnsi="宋体" w:cs="宋体"/>
          <w:bCs/>
          <w:color w:val="000000" w:themeColor="text1"/>
          <w:sz w:val="24"/>
          <w:highlight w:val="none"/>
          <w:u w:val="single"/>
          <w:lang w:eastAsia="zh-CN"/>
          <w14:textFill>
            <w14:solidFill>
              <w14:schemeClr w14:val="tx1"/>
            </w14:solidFill>
          </w14:textFill>
        </w:rPr>
        <w:t>，</w:t>
      </w:r>
      <w:r>
        <w:rPr>
          <w:rFonts w:hint="eastAsia" w:ascii="宋体" w:hAnsi="宋体" w:cs="宋体"/>
          <w:bCs/>
          <w:color w:val="000000" w:themeColor="text1"/>
          <w:sz w:val="24"/>
          <w:highlight w:val="none"/>
          <w:u w:val="single"/>
          <w:lang w:val="en-US" w:eastAsia="zh-CN"/>
          <w14:textFill>
            <w14:solidFill>
              <w14:schemeClr w14:val="tx1"/>
            </w14:solidFill>
          </w14:textFill>
        </w:rPr>
        <w:t>竣工结算审定并经双方确认后支付至结算审定价款的97%，剩余3%待质保期结束后无息支付</w:t>
      </w:r>
      <w:r>
        <w:rPr>
          <w:rFonts w:hint="eastAsia" w:ascii="宋体" w:hAnsi="宋体" w:cs="宋体"/>
          <w:bCs/>
          <w:color w:val="000000" w:themeColor="text1"/>
          <w:sz w:val="24"/>
          <w:highlight w:val="none"/>
          <w:u w:val="single"/>
          <w14:textFill>
            <w14:solidFill>
              <w14:schemeClr w14:val="tx1"/>
            </w14:solidFill>
          </w14:textFill>
        </w:rPr>
        <w:t>。</w:t>
      </w:r>
    </w:p>
    <w:p w14:paraId="78FA0A9C">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3）因承包人违反合同约定或相关法规、规范、条例，监理单位、发包人向承包人出具罚款单，在当月进度款支付时全额扣减，相关单据作为结算依据，据实计入工程结算；由于其它零星项目所需增加的支付款项，竣工结算时据实计入。</w:t>
      </w:r>
    </w:p>
    <w:p w14:paraId="50EC37F3">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w:t>
      </w:r>
      <w:r>
        <w:rPr>
          <w:rFonts w:ascii="宋体" w:hAnsi="宋体" w:cs="宋体"/>
          <w:bCs/>
          <w:color w:val="000000" w:themeColor="text1"/>
          <w:sz w:val="24"/>
          <w:highlight w:val="none"/>
          <w:u w:val="single"/>
          <w14:textFill>
            <w14:solidFill>
              <w14:schemeClr w14:val="tx1"/>
            </w14:solidFill>
          </w14:textFill>
        </w:rPr>
        <w:t>4</w:t>
      </w:r>
      <w:r>
        <w:rPr>
          <w:rFonts w:hint="eastAsia" w:ascii="宋体" w:hAnsi="宋体" w:cs="宋体"/>
          <w:bCs/>
          <w:color w:val="000000" w:themeColor="text1"/>
          <w:sz w:val="24"/>
          <w:highlight w:val="none"/>
          <w:u w:val="single"/>
          <w14:textFill>
            <w14:solidFill>
              <w14:schemeClr w14:val="tx1"/>
            </w14:solidFill>
          </w14:textFill>
        </w:rPr>
        <w:t>）同一规格或型号的设备、材料以及项目特征相同的清单综合单价，如在报价中不一致，结算时以价低者为准。</w:t>
      </w:r>
    </w:p>
    <w:p w14:paraId="5DCCDF23">
      <w:pPr>
        <w:widowControl/>
        <w:spacing w:line="360" w:lineRule="auto"/>
        <w:ind w:firstLine="484" w:firstLineChars="200"/>
        <w:rPr>
          <w:rFonts w:ascii="宋体" w:hAnsi="宋体" w:cs="宋体"/>
          <w:bCs/>
          <w:color w:val="000000" w:themeColor="text1"/>
          <w:spacing w:val="1"/>
          <w:sz w:val="24"/>
          <w:highlight w:val="none"/>
          <w14:textFill>
            <w14:solidFill>
              <w14:schemeClr w14:val="tx1"/>
            </w14:solidFill>
          </w14:textFill>
        </w:rPr>
      </w:pPr>
      <w:r>
        <w:rPr>
          <w:rFonts w:hint="eastAsia" w:ascii="宋体" w:hAnsi="宋体" w:cs="宋体"/>
          <w:bCs/>
          <w:color w:val="000000" w:themeColor="text1"/>
          <w:spacing w:val="1"/>
          <w:sz w:val="24"/>
          <w:highlight w:val="none"/>
          <w14:textFill>
            <w14:solidFill>
              <w14:schemeClr w14:val="tx1"/>
            </w14:solidFill>
          </w14:textFill>
        </w:rPr>
        <w:t>每次付款前，承包人须提供</w:t>
      </w:r>
      <w:r>
        <w:rPr>
          <w:rFonts w:hint="eastAsia" w:ascii="宋体" w:hAnsi="宋体" w:cs="宋体"/>
          <w:bCs/>
          <w:color w:val="000000" w:themeColor="text1"/>
          <w:sz w:val="24"/>
          <w:highlight w:val="none"/>
          <w14:textFill>
            <w14:solidFill>
              <w14:schemeClr w14:val="tx1"/>
            </w14:solidFill>
          </w14:textFill>
        </w:rPr>
        <w:t>与</w:t>
      </w:r>
      <w:r>
        <w:rPr>
          <w:rFonts w:hint="eastAsia" w:ascii="宋体" w:hAnsi="宋体" w:cs="宋体"/>
          <w:bCs/>
          <w:color w:val="000000" w:themeColor="text1"/>
          <w:spacing w:val="1"/>
          <w:sz w:val="24"/>
          <w:highlight w:val="none"/>
          <w14:textFill>
            <w14:solidFill>
              <w14:schemeClr w14:val="tx1"/>
            </w14:solidFill>
          </w14:textFill>
        </w:rPr>
        <w:t>当次付款额等额的正规税务发票（增值税专用发票），</w:t>
      </w:r>
      <w:r>
        <w:rPr>
          <w:rFonts w:hint="eastAsia" w:ascii="宋体" w:hAnsi="宋体" w:cs="宋体"/>
          <w:bCs/>
          <w:color w:val="000000" w:themeColor="text1"/>
          <w:spacing w:val="1"/>
          <w:sz w:val="24"/>
          <w:highlight w:val="none"/>
          <w:lang w:val="en-US" w:eastAsia="zh-CN"/>
          <w14:textFill>
            <w14:solidFill>
              <w14:schemeClr w14:val="tx1"/>
            </w14:solidFill>
          </w14:textFill>
        </w:rPr>
        <w:t>质保金部分发票随结算价款统一开具，</w:t>
      </w:r>
      <w:r>
        <w:rPr>
          <w:rFonts w:hint="eastAsia" w:ascii="宋体" w:hAnsi="宋体" w:cs="宋体"/>
          <w:bCs/>
          <w:color w:val="000000" w:themeColor="text1"/>
          <w:spacing w:val="1"/>
          <w:sz w:val="24"/>
          <w:highlight w:val="none"/>
          <w14:textFill>
            <w14:solidFill>
              <w14:schemeClr w14:val="tx1"/>
            </w14:solidFill>
          </w14:textFill>
        </w:rPr>
        <w:t>否则发包人有权延期付款，且不视为违约。</w:t>
      </w:r>
    </w:p>
    <w:p w14:paraId="7048B74B">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工程造价结算方式：</w:t>
      </w:r>
      <w:r>
        <w:rPr>
          <w:rFonts w:hint="eastAsia" w:ascii="宋体" w:hAnsi="宋体" w:cs="宋体"/>
          <w:bCs/>
          <w:color w:val="000000" w:themeColor="text1"/>
          <w:sz w:val="24"/>
          <w:highlight w:val="none"/>
          <w:u w:val="single"/>
          <w14:textFill>
            <w14:solidFill>
              <w14:schemeClr w14:val="tx1"/>
            </w14:solidFill>
          </w14:textFill>
        </w:rPr>
        <w:t>以双方约定合同价及有效现场变更签证据实结算</w:t>
      </w:r>
      <w:r>
        <w:rPr>
          <w:rFonts w:hint="eastAsia" w:ascii="宋体" w:hAnsi="宋体" w:cs="宋体"/>
          <w:bCs/>
          <w:color w:val="000000" w:themeColor="text1"/>
          <w:sz w:val="24"/>
          <w:highlight w:val="none"/>
          <w14:textFill>
            <w14:solidFill>
              <w14:schemeClr w14:val="tx1"/>
            </w14:solidFill>
          </w14:textFill>
        </w:rPr>
        <w:t>。</w:t>
      </w:r>
    </w:p>
    <w:bookmarkEnd w:id="244"/>
    <w:p w14:paraId="13D8D5BD">
      <w:pPr>
        <w:spacing w:line="360" w:lineRule="auto"/>
        <w:ind w:firstLine="480"/>
        <w:rPr>
          <w:rFonts w:ascii="宋体" w:hAnsi="宋体" w:cs="宋体"/>
          <w:color w:val="000000" w:themeColor="text1"/>
          <w:sz w:val="24"/>
          <w:highlight w:val="none"/>
          <w14:textFill>
            <w14:solidFill>
              <w14:schemeClr w14:val="tx1"/>
            </w14:solidFill>
          </w14:textFill>
        </w:rPr>
      </w:pPr>
      <w:bookmarkStart w:id="378" w:name="_Toc351203645"/>
      <w:bookmarkStart w:id="379" w:name="_Toc297120519"/>
      <w:bookmarkStart w:id="380" w:name="_Toc292559424"/>
      <w:bookmarkStart w:id="381" w:name="_Toc300935015"/>
      <w:bookmarkStart w:id="382" w:name="_Toc296891047"/>
      <w:bookmarkStart w:id="383" w:name="_Toc312678053"/>
      <w:bookmarkStart w:id="384" w:name="_Toc296347218"/>
      <w:bookmarkStart w:id="385" w:name="_Toc297048405"/>
      <w:bookmarkStart w:id="386" w:name="_Toc304295593"/>
      <w:bookmarkStart w:id="387" w:name="_Toc296346720"/>
      <w:bookmarkStart w:id="388" w:name="_Toc297123564"/>
      <w:bookmarkStart w:id="389" w:name="_Toc296891259"/>
      <w:bookmarkStart w:id="390" w:name="_Toc296944558"/>
      <w:bookmarkStart w:id="391" w:name="_Toc296503219"/>
      <w:bookmarkStart w:id="392" w:name="_Toc297216223"/>
      <w:bookmarkStart w:id="393" w:name="_Toc303539172"/>
      <w:bookmarkStart w:id="394" w:name="_Toc292559929"/>
      <w:r>
        <w:rPr>
          <w:rFonts w:hint="eastAsia" w:ascii="宋体" w:hAnsi="宋体" w:cs="宋体"/>
          <w:color w:val="000000" w:themeColor="text1"/>
          <w:sz w:val="24"/>
          <w:highlight w:val="none"/>
          <w14:textFill>
            <w14:solidFill>
              <w14:schemeClr w14:val="tx1"/>
            </w14:solidFill>
          </w14:textFill>
        </w:rPr>
        <w:t>13. 验收和工程试车</w:t>
      </w:r>
      <w:bookmarkEnd w:id="378"/>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38E174A2">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13.1 分部分项工程验收</w:t>
      </w:r>
    </w:p>
    <w:p w14:paraId="7B317BC4">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13.1.2监理人不能按时进行验收时，应提前</w:t>
      </w:r>
      <w:r>
        <w:rPr>
          <w:rFonts w:hint="eastAsia" w:ascii="宋体" w:hAnsi="宋体" w:cs="宋体"/>
          <w:bCs/>
          <w:color w:val="000000" w:themeColor="text1"/>
          <w:sz w:val="24"/>
          <w:highlight w:val="none"/>
          <w:u w:val="single"/>
          <w14:textFill>
            <w14:solidFill>
              <w14:schemeClr w14:val="tx1"/>
            </w14:solidFill>
          </w14:textFill>
        </w:rPr>
        <w:t xml:space="preserve">  24  </w:t>
      </w:r>
      <w:r>
        <w:rPr>
          <w:rFonts w:hint="eastAsia" w:ascii="宋体" w:hAnsi="宋体" w:cs="宋体"/>
          <w:bCs/>
          <w:color w:val="000000" w:themeColor="text1"/>
          <w:sz w:val="24"/>
          <w:highlight w:val="none"/>
          <w14:textFill>
            <w14:solidFill>
              <w14:schemeClr w14:val="tx1"/>
            </w14:solidFill>
          </w14:textFill>
        </w:rPr>
        <w:t>小时提交书面延期要求。</w:t>
      </w:r>
    </w:p>
    <w:p w14:paraId="285D0D74">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关于延期最长不得超过：</w:t>
      </w:r>
      <w:r>
        <w:rPr>
          <w:rFonts w:hint="eastAsia" w:ascii="宋体" w:hAnsi="宋体" w:cs="宋体"/>
          <w:bCs/>
          <w:color w:val="000000" w:themeColor="text1"/>
          <w:sz w:val="24"/>
          <w:highlight w:val="none"/>
          <w:u w:val="single"/>
          <w14:textFill>
            <w14:solidFill>
              <w14:schemeClr w14:val="tx1"/>
            </w14:solidFill>
          </w14:textFill>
        </w:rPr>
        <w:t xml:space="preserve">  48  </w:t>
      </w:r>
      <w:r>
        <w:rPr>
          <w:rFonts w:hint="eastAsia" w:ascii="宋体" w:hAnsi="宋体" w:cs="宋体"/>
          <w:bCs/>
          <w:color w:val="000000" w:themeColor="text1"/>
          <w:sz w:val="24"/>
          <w:highlight w:val="none"/>
          <w14:textFill>
            <w14:solidFill>
              <w14:schemeClr w14:val="tx1"/>
            </w14:solidFill>
          </w14:textFill>
        </w:rPr>
        <w:t>小时。</w:t>
      </w:r>
    </w:p>
    <w:p w14:paraId="7608CF67">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bookmarkStart w:id="395" w:name="_Toc297120523"/>
      <w:bookmarkStart w:id="396" w:name="_Toc296944562"/>
      <w:bookmarkStart w:id="397" w:name="_Toc296891051"/>
      <w:bookmarkStart w:id="398" w:name="_Toc292559933"/>
      <w:bookmarkStart w:id="399" w:name="_Toc297216224"/>
      <w:bookmarkStart w:id="400" w:name="_Toc296503223"/>
      <w:bookmarkStart w:id="401" w:name="_Toc304295596"/>
      <w:bookmarkStart w:id="402" w:name="_Toc297123565"/>
      <w:bookmarkStart w:id="403" w:name="_Toc296347222"/>
      <w:bookmarkStart w:id="404" w:name="_Toc297048409"/>
      <w:bookmarkStart w:id="405" w:name="_Toc292559428"/>
      <w:bookmarkStart w:id="406" w:name="_Toc296346724"/>
      <w:bookmarkStart w:id="407" w:name="_Toc312678056"/>
      <w:bookmarkStart w:id="408" w:name="_Toc303539173"/>
      <w:bookmarkStart w:id="409" w:name="_Toc296891263"/>
      <w:bookmarkStart w:id="410" w:name="_Toc300935016"/>
      <w:bookmarkStart w:id="411" w:name="_Toc267251475"/>
      <w:bookmarkStart w:id="412" w:name="_Toc267251472"/>
      <w:bookmarkStart w:id="413" w:name="_Toc267251473"/>
      <w:bookmarkStart w:id="414" w:name="_Toc267251471"/>
      <w:bookmarkStart w:id="415" w:name="_Toc267251476"/>
      <w:bookmarkStart w:id="416" w:name="_Toc267251474"/>
      <w:bookmarkStart w:id="417" w:name="_Toc267251470"/>
      <w:r>
        <w:rPr>
          <w:rFonts w:hint="eastAsia" w:ascii="宋体" w:hAnsi="宋体" w:cs="宋体"/>
          <w:bCs/>
          <w:color w:val="000000" w:themeColor="text1"/>
          <w:sz w:val="24"/>
          <w:highlight w:val="none"/>
          <w14:textFill>
            <w14:solidFill>
              <w14:schemeClr w14:val="tx1"/>
            </w14:solidFill>
          </w14:textFill>
        </w:rPr>
        <w:t>13.2 竣工验收</w:t>
      </w:r>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671A3241">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bookmarkStart w:id="418" w:name="_Toc280868704"/>
      <w:bookmarkStart w:id="419" w:name="_Toc280868705"/>
      <w:bookmarkStart w:id="420" w:name="_Toc280868706"/>
      <w:bookmarkStart w:id="421" w:name="_Toc280868707"/>
      <w:bookmarkStart w:id="422" w:name="_Toc280868708"/>
      <w:bookmarkStart w:id="423" w:name="_Toc280868709"/>
      <w:r>
        <w:rPr>
          <w:rFonts w:hint="eastAsia" w:ascii="宋体" w:hAnsi="宋体" w:cs="宋体"/>
          <w:bCs/>
          <w:color w:val="000000" w:themeColor="text1"/>
          <w:sz w:val="24"/>
          <w:highlight w:val="none"/>
          <w14:textFill>
            <w14:solidFill>
              <w14:schemeClr w14:val="tx1"/>
            </w14:solidFill>
          </w14:textFill>
        </w:rPr>
        <w:t>13.2.2竣工验收程序</w:t>
      </w:r>
    </w:p>
    <w:bookmarkEnd w:id="418"/>
    <w:p w14:paraId="6A6F6894">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关于竣工验收程序的约定：</w:t>
      </w:r>
      <w:r>
        <w:rPr>
          <w:rFonts w:hint="eastAsia" w:ascii="宋体" w:hAnsi="宋体" w:cs="宋体"/>
          <w:bCs/>
          <w:color w:val="000000" w:themeColor="text1"/>
          <w:sz w:val="24"/>
          <w:highlight w:val="none"/>
          <w:u w:val="single"/>
          <w14:textFill>
            <w14:solidFill>
              <w14:schemeClr w14:val="tx1"/>
            </w14:solidFill>
          </w14:textFill>
        </w:rPr>
        <w:t>承包人按国家、陕西省、西安市相关规定，完成所有单项验收后，进行工程竣工验收。竣工验收后一个月内，提交竣工图及完整资料文件八套。所有资料文件必须符合质监站和档案馆备案要求以及符合发包人的相关规定。分包工程的竣工图纸和资料由分包单位提供总包单位整理，并在竣工验收后15天内完成。</w:t>
      </w:r>
    </w:p>
    <w:p w14:paraId="75C226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发包人不按照本项约定组织竣工验收、颁发工程接收证书的违约金的计算方法：</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bookmarkEnd w:id="419"/>
    <w:p w14:paraId="50474F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13.2.5移交、接收全部与部分工程</w:t>
      </w:r>
    </w:p>
    <w:bookmarkEnd w:id="420"/>
    <w:p w14:paraId="700F79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承包人向发包人移交工程的期限：</w:t>
      </w:r>
      <w:r>
        <w:rPr>
          <w:rFonts w:hint="eastAsia" w:ascii="宋体" w:hAnsi="宋体" w:cs="宋体"/>
          <w:bCs/>
          <w:color w:val="000000" w:themeColor="text1"/>
          <w:sz w:val="24"/>
          <w:highlight w:val="none"/>
          <w:u w:val="single"/>
          <w14:textFill>
            <w14:solidFill>
              <w14:schemeClr w14:val="tx1"/>
            </w14:solidFill>
          </w14:textFill>
        </w:rPr>
        <w:t>工程竣工验收合格后14天内，发包人无正当理由逾期不颁发工程接收证书的，自验收合格后第15天起视为已颁发工程接收证书</w:t>
      </w:r>
      <w:r>
        <w:rPr>
          <w:rFonts w:hint="eastAsia" w:ascii="宋体" w:hAnsi="宋体" w:cs="宋体"/>
          <w:bCs/>
          <w:color w:val="000000" w:themeColor="text1"/>
          <w:sz w:val="24"/>
          <w:highlight w:val="none"/>
          <w14:textFill>
            <w14:solidFill>
              <w14:schemeClr w14:val="tx1"/>
            </w14:solidFill>
          </w14:textFill>
        </w:rPr>
        <w:t>。</w:t>
      </w:r>
    </w:p>
    <w:p w14:paraId="16BC3806">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发包人未按本合同约定接收全部或部分工程的，违约金的计算方法为：</w:t>
      </w:r>
      <w:r>
        <w:rPr>
          <w:rFonts w:hint="eastAsia" w:ascii="宋体" w:hAnsi="宋体" w:cs="宋体"/>
          <w:bCs/>
          <w:color w:val="000000" w:themeColor="text1"/>
          <w:sz w:val="24"/>
          <w:highlight w:val="none"/>
          <w:u w:val="single"/>
          <w14:textFill>
            <w14:solidFill>
              <w14:schemeClr w14:val="tx1"/>
            </w14:solidFill>
          </w14:textFill>
        </w:rPr>
        <w:t xml:space="preserve">执行通用条款13.2.5 </w:t>
      </w:r>
      <w:r>
        <w:rPr>
          <w:rFonts w:hint="eastAsia" w:ascii="宋体" w:hAnsi="宋体" w:cs="宋体"/>
          <w:bCs/>
          <w:color w:val="000000" w:themeColor="text1"/>
          <w:sz w:val="24"/>
          <w:highlight w:val="none"/>
          <w14:textFill>
            <w14:solidFill>
              <w14:schemeClr w14:val="tx1"/>
            </w14:solidFill>
          </w14:textFill>
        </w:rPr>
        <w:t>。</w:t>
      </w:r>
    </w:p>
    <w:bookmarkEnd w:id="421"/>
    <w:p w14:paraId="1BB5A8B1">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承包人未按时移交工程的，违约金的计算方法为：</w:t>
      </w:r>
      <w:r>
        <w:rPr>
          <w:rFonts w:hint="eastAsia" w:ascii="宋体" w:hAnsi="宋体" w:cs="宋体"/>
          <w:bCs/>
          <w:color w:val="000000" w:themeColor="text1"/>
          <w:sz w:val="24"/>
          <w:highlight w:val="none"/>
          <w:u w:val="single"/>
          <w14:textFill>
            <w14:solidFill>
              <w14:schemeClr w14:val="tx1"/>
            </w14:solidFill>
          </w14:textFill>
        </w:rPr>
        <w:t>执行通用条款13.2.5</w:t>
      </w:r>
      <w:r>
        <w:rPr>
          <w:rFonts w:hint="eastAsia" w:ascii="宋体" w:hAnsi="宋体" w:cs="宋体"/>
          <w:bCs/>
          <w:color w:val="000000" w:themeColor="text1"/>
          <w:sz w:val="24"/>
          <w:highlight w:val="none"/>
          <w14:textFill>
            <w14:solidFill>
              <w14:schemeClr w14:val="tx1"/>
            </w14:solidFill>
          </w14:textFill>
        </w:rPr>
        <w:t>。</w:t>
      </w:r>
    </w:p>
    <w:p w14:paraId="245C1968">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13.3 工程试车</w:t>
      </w:r>
    </w:p>
    <w:bookmarkEnd w:id="422"/>
    <w:p w14:paraId="27E04AEA">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13.3.1 试车程序</w:t>
      </w:r>
    </w:p>
    <w:p w14:paraId="303E0C36">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工程试车内容：</w:t>
      </w:r>
      <w:r>
        <w:rPr>
          <w:rFonts w:hint="eastAsia" w:ascii="宋体" w:hAnsi="宋体" w:cs="宋体"/>
          <w:bCs/>
          <w:color w:val="000000" w:themeColor="text1"/>
          <w:sz w:val="24"/>
          <w:highlight w:val="none"/>
          <w:u w:val="single"/>
          <w14:textFill>
            <w14:solidFill>
              <w14:schemeClr w14:val="tx1"/>
            </w14:solidFill>
          </w14:textFill>
        </w:rPr>
        <w:t xml:space="preserve">执行通用条款 </w:t>
      </w:r>
      <w:r>
        <w:rPr>
          <w:rFonts w:hint="eastAsia" w:ascii="宋体" w:hAnsi="宋体" w:cs="宋体"/>
          <w:bCs/>
          <w:color w:val="000000" w:themeColor="text1"/>
          <w:sz w:val="24"/>
          <w:highlight w:val="none"/>
          <w14:textFill>
            <w14:solidFill>
              <w14:schemeClr w14:val="tx1"/>
            </w14:solidFill>
          </w14:textFill>
        </w:rPr>
        <w:t>。</w:t>
      </w:r>
    </w:p>
    <w:p w14:paraId="133E1B67">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（1）单机无负荷试车费用由</w:t>
      </w:r>
      <w:r>
        <w:rPr>
          <w:rFonts w:hint="eastAsia" w:ascii="宋体" w:hAnsi="宋体" w:cs="宋体"/>
          <w:bCs/>
          <w:color w:val="000000" w:themeColor="text1"/>
          <w:sz w:val="24"/>
          <w:highlight w:val="none"/>
          <w:u w:val="single"/>
          <w14:textFill>
            <w14:solidFill>
              <w14:schemeClr w14:val="tx1"/>
            </w14:solidFill>
          </w14:textFill>
        </w:rPr>
        <w:t xml:space="preserve"> 承包方 </w:t>
      </w:r>
      <w:r>
        <w:rPr>
          <w:rFonts w:hint="eastAsia" w:ascii="宋体" w:hAnsi="宋体" w:cs="宋体"/>
          <w:bCs/>
          <w:color w:val="000000" w:themeColor="text1"/>
          <w:kern w:val="0"/>
          <w:sz w:val="24"/>
          <w:highlight w:val="none"/>
          <w14:textFill>
            <w14:solidFill>
              <w14:schemeClr w14:val="tx1"/>
            </w14:solidFill>
          </w14:textFill>
        </w:rPr>
        <w:t>承担；</w:t>
      </w:r>
    </w:p>
    <w:p w14:paraId="24C3DD50">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（2）无负荷联动试车费用由</w:t>
      </w:r>
      <w:r>
        <w:rPr>
          <w:rFonts w:hint="eastAsia" w:ascii="宋体" w:hAnsi="宋体" w:cs="宋体"/>
          <w:bCs/>
          <w:color w:val="000000" w:themeColor="text1"/>
          <w:sz w:val="24"/>
          <w:highlight w:val="none"/>
          <w:u w:val="single"/>
          <w14:textFill>
            <w14:solidFill>
              <w14:schemeClr w14:val="tx1"/>
            </w14:solidFill>
          </w14:textFill>
        </w:rPr>
        <w:t xml:space="preserve"> 承包方 </w:t>
      </w:r>
      <w:r>
        <w:rPr>
          <w:rFonts w:hint="eastAsia" w:ascii="宋体" w:hAnsi="宋体" w:cs="宋体"/>
          <w:bCs/>
          <w:color w:val="000000" w:themeColor="text1"/>
          <w:kern w:val="0"/>
          <w:sz w:val="24"/>
          <w:highlight w:val="none"/>
          <w14:textFill>
            <w14:solidFill>
              <w14:schemeClr w14:val="tx1"/>
            </w14:solidFill>
          </w14:textFill>
        </w:rPr>
        <w:t>承担。</w:t>
      </w:r>
    </w:p>
    <w:p w14:paraId="3BA59B19">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13.3.3 投料试车</w:t>
      </w:r>
    </w:p>
    <w:p w14:paraId="70FB84B2">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关于投料试车相关事项的约定：</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32121563">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13.6 竣工退场</w:t>
      </w:r>
    </w:p>
    <w:p w14:paraId="0EDE678B">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13.6.1 竣工退场</w:t>
      </w:r>
    </w:p>
    <w:p w14:paraId="13DD0DAA">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承包人完成竣工退场的期限：</w:t>
      </w:r>
      <w:r>
        <w:rPr>
          <w:rFonts w:hint="eastAsia" w:ascii="宋体" w:hAnsi="宋体" w:cs="宋体"/>
          <w:bCs/>
          <w:color w:val="000000" w:themeColor="text1"/>
          <w:sz w:val="24"/>
          <w:highlight w:val="none"/>
          <w:u w:val="single"/>
          <w14:textFill>
            <w14:solidFill>
              <w14:schemeClr w14:val="tx1"/>
            </w14:solidFill>
          </w14:textFill>
        </w:rPr>
        <w:t xml:space="preserve"> 工程竣工验收合格后14日内 </w:t>
      </w:r>
      <w:r>
        <w:rPr>
          <w:rFonts w:hint="eastAsia" w:ascii="宋体" w:hAnsi="宋体" w:cs="宋体"/>
          <w:bCs/>
          <w:color w:val="000000" w:themeColor="text1"/>
          <w:kern w:val="0"/>
          <w:sz w:val="24"/>
          <w:highlight w:val="none"/>
          <w14:textFill>
            <w14:solidFill>
              <w14:schemeClr w14:val="tx1"/>
            </w14:solidFill>
          </w14:textFill>
        </w:rPr>
        <w:t>。</w:t>
      </w:r>
    </w:p>
    <w:p w14:paraId="567D84C2">
      <w:pPr>
        <w:spacing w:line="360" w:lineRule="auto"/>
        <w:ind w:firstLine="480"/>
        <w:rPr>
          <w:rFonts w:ascii="宋体" w:hAnsi="宋体" w:cs="宋体"/>
          <w:color w:val="000000" w:themeColor="text1"/>
          <w:sz w:val="24"/>
          <w:highlight w:val="none"/>
          <w14:textFill>
            <w14:solidFill>
              <w14:schemeClr w14:val="tx1"/>
            </w14:solidFill>
          </w14:textFill>
        </w:rPr>
      </w:pPr>
      <w:bookmarkStart w:id="424" w:name="_Toc351203646"/>
      <w:r>
        <w:rPr>
          <w:rFonts w:hint="eastAsia" w:ascii="宋体" w:hAnsi="宋体" w:cs="宋体"/>
          <w:color w:val="000000" w:themeColor="text1"/>
          <w:sz w:val="24"/>
          <w:highlight w:val="none"/>
          <w14:textFill>
            <w14:solidFill>
              <w14:schemeClr w14:val="tx1"/>
            </w14:solidFill>
          </w14:textFill>
        </w:rPr>
        <w:t>14. 竣工结算</w:t>
      </w:r>
      <w:bookmarkEnd w:id="424"/>
    </w:p>
    <w:p w14:paraId="72BCA183">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14.1 竣工结算申请</w:t>
      </w:r>
    </w:p>
    <w:p w14:paraId="19E71D29">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承包人提交竣工结算申请单的期限：</w:t>
      </w:r>
      <w:r>
        <w:rPr>
          <w:rFonts w:hint="eastAsia" w:ascii="宋体" w:hAnsi="宋体" w:cs="宋体"/>
          <w:bCs/>
          <w:color w:val="000000" w:themeColor="text1"/>
          <w:sz w:val="24"/>
          <w:highlight w:val="none"/>
          <w:u w:val="single"/>
          <w14:textFill>
            <w14:solidFill>
              <w14:schemeClr w14:val="tx1"/>
            </w14:solidFill>
          </w14:textFill>
        </w:rPr>
        <w:t>承包人具备竣工验收条件后10天内向发包人及监理人提出书面验收申请、提交竣工验收报告并作相关准备，发包人无法在上述时间内进行验收的，应当重新通知承包人验收时间。经发包人和监理人验收存在问题的，承包人应当整改后重新申请验收并重新提交竣工验收报告，工程最终竣工日期以发包人验收通过日期为准。</w:t>
      </w:r>
    </w:p>
    <w:p w14:paraId="3ADDC05A">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竣工结算申请单应包括的内容：</w:t>
      </w:r>
      <w:r>
        <w:rPr>
          <w:rFonts w:hint="eastAsia" w:ascii="宋体" w:hAnsi="宋体" w:cs="宋体"/>
          <w:bCs/>
          <w:color w:val="000000" w:themeColor="text1"/>
          <w:sz w:val="24"/>
          <w:highlight w:val="none"/>
          <w:u w:val="single"/>
          <w14:textFill>
            <w14:solidFill>
              <w14:schemeClr w14:val="tx1"/>
            </w14:solidFill>
          </w14:textFill>
        </w:rPr>
        <w:t>竣工结算合同总价、已支付的工程价款、应扣留的质量保证金、应支付的竣工付款金额及相关证明材料等。</w:t>
      </w:r>
    </w:p>
    <w:p w14:paraId="4E75BA33">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14.2 竣工结算审核</w:t>
      </w:r>
    </w:p>
    <w:p w14:paraId="521454DE">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发包人审批竣工付款申请单的期限：</w:t>
      </w:r>
      <w:r>
        <w:rPr>
          <w:rFonts w:hint="eastAsia" w:ascii="宋体" w:hAnsi="宋体" w:cs="宋体"/>
          <w:bCs/>
          <w:color w:val="000000" w:themeColor="text1"/>
          <w:sz w:val="24"/>
          <w:highlight w:val="none"/>
          <w:u w:val="single"/>
          <w14:textFill>
            <w14:solidFill>
              <w14:schemeClr w14:val="tx1"/>
            </w14:solidFill>
          </w14:textFill>
        </w:rPr>
        <w:t>竣工验收合格后，承包人应在30日历天内报送结算资料，发包人在收到结算资料后对结算资料进行审核，竣工结算经发包人及上级部门审定，以审定的结果作为最终结算依据。承包人提供剩余结算价款的全部发票后（含质保金）2个月内一次付清（扣除3%保修金）全部工程尾款。</w:t>
      </w:r>
    </w:p>
    <w:p w14:paraId="13F53EFF">
      <w:pPr>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工程竣工后，承包人应严格按照招标文件及合同约定的计算方法编制竣工结算，如发生多估冒算，结算审减额超出送审额的</w:t>
      </w:r>
      <w:r>
        <w:rPr>
          <w:rFonts w:hint="eastAsia" w:ascii="宋体" w:hAnsi="宋体" w:cs="宋体"/>
          <w:bCs/>
          <w:color w:val="000000" w:themeColor="text1"/>
          <w:sz w:val="24"/>
          <w:highlight w:val="none"/>
          <w:u w:val="single"/>
          <w:lang w:val="en-US" w:eastAsia="zh-CN"/>
          <w14:textFill>
            <w14:solidFill>
              <w14:schemeClr w14:val="tx1"/>
            </w14:solidFill>
          </w14:textFill>
        </w:rPr>
        <w:t>3</w:t>
      </w:r>
      <w:r>
        <w:rPr>
          <w:rFonts w:hint="eastAsia" w:ascii="宋体" w:hAnsi="宋体" w:cs="宋体"/>
          <w:bCs/>
          <w:color w:val="000000" w:themeColor="text1"/>
          <w:sz w:val="24"/>
          <w:highlight w:val="none"/>
          <w:u w:val="single"/>
          <w14:textFill>
            <w14:solidFill>
              <w14:schemeClr w14:val="tx1"/>
            </w14:solidFill>
          </w14:textFill>
        </w:rPr>
        <w:t>%，超出</w:t>
      </w:r>
      <w:r>
        <w:rPr>
          <w:rFonts w:hint="eastAsia" w:ascii="宋体" w:hAnsi="宋体" w:cs="宋体"/>
          <w:bCs/>
          <w:color w:val="000000" w:themeColor="text1"/>
          <w:sz w:val="24"/>
          <w:highlight w:val="none"/>
          <w:u w:val="single"/>
          <w:lang w:val="en-US" w:eastAsia="zh-CN"/>
          <w14:textFill>
            <w14:solidFill>
              <w14:schemeClr w14:val="tx1"/>
            </w14:solidFill>
          </w14:textFill>
        </w:rPr>
        <w:t>3</w:t>
      </w:r>
      <w:r>
        <w:rPr>
          <w:rFonts w:hint="eastAsia" w:ascii="宋体" w:hAnsi="宋体" w:cs="宋体"/>
          <w:bCs/>
          <w:color w:val="000000" w:themeColor="text1"/>
          <w:sz w:val="24"/>
          <w:highlight w:val="none"/>
          <w:u w:val="single"/>
          <w14:textFill>
            <w14:solidFill>
              <w14:schemeClr w14:val="tx1"/>
            </w14:solidFill>
          </w14:textFill>
        </w:rPr>
        <w:t>%部分的审核成果费（依据发</w:t>
      </w:r>
    </w:p>
    <w:p w14:paraId="75F4C5AA">
      <w:pPr>
        <w:spacing w:line="360" w:lineRule="auto"/>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包人委托的造价咨询合同计算）由承包人承担，发包人有权在结算工程价款时直接扣除。</w:t>
      </w:r>
    </w:p>
    <w:p w14:paraId="70C700AA">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发包人完成竣工付款的期限：</w:t>
      </w:r>
      <w:r>
        <w:rPr>
          <w:rFonts w:hint="eastAsia" w:ascii="宋体" w:hAnsi="宋体" w:cs="宋体"/>
          <w:bCs/>
          <w:color w:val="000000" w:themeColor="text1"/>
          <w:sz w:val="24"/>
          <w:highlight w:val="none"/>
          <w:u w:val="single"/>
          <w14:textFill>
            <w14:solidFill>
              <w14:schemeClr w14:val="tx1"/>
            </w14:solidFill>
          </w14:textFill>
        </w:rPr>
        <w:t>三方确认的审计结果出具后30天内</w:t>
      </w:r>
      <w:r>
        <w:rPr>
          <w:rFonts w:hint="eastAsia" w:ascii="宋体" w:hAnsi="宋体" w:cs="宋体"/>
          <w:bCs/>
          <w:color w:val="000000" w:themeColor="text1"/>
          <w:sz w:val="24"/>
          <w:highlight w:val="none"/>
          <w14:textFill>
            <w14:solidFill>
              <w14:schemeClr w14:val="tx1"/>
            </w14:solidFill>
          </w14:textFill>
        </w:rPr>
        <w:t>。</w:t>
      </w:r>
    </w:p>
    <w:p w14:paraId="10A68BC4">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关于竣工付款证书异议部分复核的方式和程序：</w:t>
      </w:r>
      <w:r>
        <w:rPr>
          <w:rFonts w:hint="eastAsia" w:ascii="宋体" w:hAnsi="宋体" w:cs="宋体"/>
          <w:bCs/>
          <w:color w:val="000000" w:themeColor="text1"/>
          <w:sz w:val="24"/>
          <w:highlight w:val="none"/>
          <w:u w:val="single"/>
          <w14:textFill>
            <w14:solidFill>
              <w14:schemeClr w14:val="tx1"/>
            </w14:solidFill>
          </w14:textFill>
        </w:rPr>
        <w:t>由发包人委托的第三方造价审计机构进行复核</w:t>
      </w:r>
      <w:r>
        <w:rPr>
          <w:rFonts w:hint="eastAsia" w:ascii="宋体" w:hAnsi="宋体" w:cs="宋体"/>
          <w:bCs/>
          <w:color w:val="000000" w:themeColor="text1"/>
          <w:sz w:val="24"/>
          <w:highlight w:val="none"/>
          <w14:textFill>
            <w14:solidFill>
              <w14:schemeClr w14:val="tx1"/>
            </w14:solidFill>
          </w14:textFill>
        </w:rPr>
        <w:t>。</w:t>
      </w:r>
    </w:p>
    <w:p w14:paraId="38A4C360">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14.4 最终结清</w:t>
      </w:r>
    </w:p>
    <w:p w14:paraId="68C5D123">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14.4.1 最终结清申请单</w:t>
      </w:r>
    </w:p>
    <w:p w14:paraId="15B4292E">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承包人提交最终结清申请单的份数：</w:t>
      </w:r>
      <w:r>
        <w:rPr>
          <w:rFonts w:hint="eastAsia" w:ascii="宋体" w:hAnsi="宋体" w:cs="宋体"/>
          <w:bCs/>
          <w:color w:val="000000" w:themeColor="text1"/>
          <w:sz w:val="24"/>
          <w:highlight w:val="none"/>
          <w:u w:val="single"/>
          <w14:textFill>
            <w14:solidFill>
              <w14:schemeClr w14:val="tx1"/>
            </w14:solidFill>
          </w14:textFill>
        </w:rPr>
        <w:t xml:space="preserve"> 5份 </w:t>
      </w:r>
      <w:r>
        <w:rPr>
          <w:rFonts w:hint="eastAsia" w:ascii="宋体" w:hAnsi="宋体" w:cs="宋体"/>
          <w:bCs/>
          <w:color w:val="000000" w:themeColor="text1"/>
          <w:sz w:val="24"/>
          <w:highlight w:val="none"/>
          <w14:textFill>
            <w14:solidFill>
              <w14:schemeClr w14:val="tx1"/>
            </w14:solidFill>
          </w14:textFill>
        </w:rPr>
        <w:t>。</w:t>
      </w:r>
    </w:p>
    <w:p w14:paraId="0B1F2277">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承包人提交最终结算申请单的期限：</w:t>
      </w:r>
      <w:r>
        <w:rPr>
          <w:rFonts w:hint="eastAsia" w:ascii="宋体" w:hAnsi="宋体" w:cs="宋体"/>
          <w:bCs/>
          <w:color w:val="000000" w:themeColor="text1"/>
          <w:sz w:val="24"/>
          <w:highlight w:val="none"/>
          <w:u w:val="single"/>
          <w14:textFill>
            <w14:solidFill>
              <w14:schemeClr w14:val="tx1"/>
            </w14:solidFill>
          </w14:textFill>
        </w:rPr>
        <w:t xml:space="preserve"> 在缺陷责任期终止证书颁发后7天内 </w:t>
      </w:r>
      <w:r>
        <w:rPr>
          <w:rFonts w:hint="eastAsia" w:ascii="宋体" w:hAnsi="宋体" w:cs="宋体"/>
          <w:bCs/>
          <w:color w:val="000000" w:themeColor="text1"/>
          <w:sz w:val="24"/>
          <w:highlight w:val="none"/>
          <w14:textFill>
            <w14:solidFill>
              <w14:schemeClr w14:val="tx1"/>
            </w14:solidFill>
          </w14:textFill>
        </w:rPr>
        <w:t xml:space="preserve">。 </w:t>
      </w:r>
    </w:p>
    <w:p w14:paraId="6DE9A07A">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14.4.2 最终结清证书和支付</w:t>
      </w:r>
    </w:p>
    <w:p w14:paraId="0C41D6DB">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（1）发包人完成最终结清申请单的审批并颁发最终结清证书的期限：</w:t>
      </w:r>
      <w:r>
        <w:rPr>
          <w:rFonts w:hint="eastAsia" w:ascii="宋体" w:hAnsi="宋体" w:cs="宋体"/>
          <w:bCs/>
          <w:color w:val="000000" w:themeColor="text1"/>
          <w:sz w:val="24"/>
          <w:highlight w:val="none"/>
          <w:u w:val="single"/>
          <w14:textFill>
            <w14:solidFill>
              <w14:schemeClr w14:val="tx1"/>
            </w14:solidFill>
          </w14:textFill>
        </w:rPr>
        <w:t>收到承包人提交的最终结清证书14天内</w:t>
      </w:r>
      <w:r>
        <w:rPr>
          <w:rFonts w:hint="eastAsia" w:ascii="宋体" w:hAnsi="宋体" w:cs="宋体"/>
          <w:bCs/>
          <w:color w:val="000000" w:themeColor="text1"/>
          <w:sz w:val="24"/>
          <w:highlight w:val="none"/>
          <w14:textFill>
            <w14:solidFill>
              <w14:schemeClr w14:val="tx1"/>
            </w14:solidFill>
          </w14:textFill>
        </w:rPr>
        <w:t>。</w:t>
      </w:r>
    </w:p>
    <w:p w14:paraId="5CA67513">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（2）发包人完成支付的期限：</w:t>
      </w:r>
      <w:r>
        <w:rPr>
          <w:rFonts w:hint="eastAsia" w:ascii="宋体" w:hAnsi="宋体" w:cs="宋体"/>
          <w:bCs/>
          <w:color w:val="000000" w:themeColor="text1"/>
          <w:sz w:val="24"/>
          <w:highlight w:val="none"/>
          <w:u w:val="single"/>
          <w14:textFill>
            <w14:solidFill>
              <w14:schemeClr w14:val="tx1"/>
            </w14:solidFill>
          </w14:textFill>
        </w:rPr>
        <w:t xml:space="preserve"> 发包人应在颁发最终结清证书后20个工作日内完成支付  </w:t>
      </w:r>
      <w:r>
        <w:rPr>
          <w:rFonts w:hint="eastAsia" w:ascii="宋体" w:hAnsi="宋体" w:cs="宋体"/>
          <w:bCs/>
          <w:color w:val="000000" w:themeColor="text1"/>
          <w:sz w:val="24"/>
          <w:highlight w:val="none"/>
          <w14:textFill>
            <w14:solidFill>
              <w14:schemeClr w14:val="tx1"/>
            </w14:solidFill>
          </w14:textFill>
        </w:rPr>
        <w:t>。</w:t>
      </w:r>
    </w:p>
    <w:bookmarkEnd w:id="411"/>
    <w:bookmarkEnd w:id="412"/>
    <w:bookmarkEnd w:id="413"/>
    <w:bookmarkEnd w:id="414"/>
    <w:bookmarkEnd w:id="415"/>
    <w:bookmarkEnd w:id="416"/>
    <w:bookmarkEnd w:id="417"/>
    <w:bookmarkEnd w:id="423"/>
    <w:p w14:paraId="2EB99A1C">
      <w:pPr>
        <w:spacing w:line="360" w:lineRule="auto"/>
        <w:ind w:firstLine="480"/>
        <w:rPr>
          <w:rFonts w:ascii="宋体" w:hAnsi="宋体" w:cs="宋体"/>
          <w:color w:val="000000" w:themeColor="text1"/>
          <w:sz w:val="24"/>
          <w:highlight w:val="none"/>
          <w14:textFill>
            <w14:solidFill>
              <w14:schemeClr w14:val="tx1"/>
            </w14:solidFill>
          </w14:textFill>
        </w:rPr>
      </w:pPr>
      <w:bookmarkStart w:id="425" w:name="_Toc351203647"/>
      <w:bookmarkStart w:id="426" w:name="_Toc267251483"/>
      <w:bookmarkStart w:id="427" w:name="_Toc267251482"/>
      <w:bookmarkStart w:id="428" w:name="_Toc267251484"/>
      <w:bookmarkStart w:id="429" w:name="_Toc267251485"/>
      <w:bookmarkStart w:id="430" w:name="_Toc267251488"/>
      <w:bookmarkStart w:id="431" w:name="_Toc267251489"/>
      <w:bookmarkStart w:id="432" w:name="_Toc267251486"/>
      <w:bookmarkStart w:id="433" w:name="_Toc267251490"/>
      <w:bookmarkStart w:id="434" w:name="_Toc267251498"/>
      <w:bookmarkStart w:id="435" w:name="_Toc267251497"/>
      <w:bookmarkStart w:id="436" w:name="_Toc267251504"/>
      <w:bookmarkStart w:id="437" w:name="_Toc267251507"/>
      <w:bookmarkStart w:id="438" w:name="_Toc267251494"/>
      <w:bookmarkStart w:id="439" w:name="_Toc267251491"/>
      <w:bookmarkStart w:id="440" w:name="_Toc267251493"/>
      <w:bookmarkStart w:id="441" w:name="_Toc267251496"/>
      <w:bookmarkStart w:id="442" w:name="_Toc267251495"/>
      <w:bookmarkStart w:id="443" w:name="_Toc267251502"/>
      <w:bookmarkStart w:id="444" w:name="_Toc267251501"/>
      <w:bookmarkStart w:id="445" w:name="_Toc267251503"/>
      <w:bookmarkStart w:id="446" w:name="_Toc267251499"/>
      <w:bookmarkStart w:id="447" w:name="_Toc267251492"/>
      <w:bookmarkStart w:id="448" w:name="_Toc267251506"/>
      <w:bookmarkStart w:id="449" w:name="_Toc267251508"/>
      <w:bookmarkStart w:id="450" w:name="_Toc267251513"/>
      <w:bookmarkStart w:id="451" w:name="_Toc267251515"/>
      <w:bookmarkStart w:id="452" w:name="_Toc267251514"/>
      <w:bookmarkStart w:id="453" w:name="_Toc267251511"/>
      <w:bookmarkStart w:id="454" w:name="_Toc267251510"/>
      <w:bookmarkStart w:id="455" w:name="_Toc267251509"/>
      <w:r>
        <w:rPr>
          <w:rFonts w:hint="eastAsia" w:ascii="宋体" w:hAnsi="宋体" w:cs="宋体"/>
          <w:color w:val="000000" w:themeColor="text1"/>
          <w:sz w:val="24"/>
          <w:highlight w:val="none"/>
          <w14:textFill>
            <w14:solidFill>
              <w14:schemeClr w14:val="tx1"/>
            </w14:solidFill>
          </w14:textFill>
        </w:rPr>
        <w:t>15. 缺陷责任期与保修</w:t>
      </w:r>
      <w:bookmarkEnd w:id="425"/>
    </w:p>
    <w:p w14:paraId="326AD080">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15.2缺陷责任期</w:t>
      </w:r>
      <w:bookmarkEnd w:id="426"/>
    </w:p>
    <w:p w14:paraId="70938AC8">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缺陷责任期的具体期限：</w:t>
      </w:r>
      <w:r>
        <w:rPr>
          <w:rFonts w:hint="eastAsia" w:ascii="宋体" w:hAnsi="宋体" w:cs="宋体"/>
          <w:bCs/>
          <w:color w:val="000000" w:themeColor="text1"/>
          <w:sz w:val="24"/>
          <w:highlight w:val="none"/>
          <w:u w:val="single"/>
          <w14:textFill>
            <w14:solidFill>
              <w14:schemeClr w14:val="tx1"/>
            </w14:solidFill>
          </w14:textFill>
        </w:rPr>
        <w:t>本项目缺陷责任期为贰年，自工程竣工验收合格之日起算。</w:t>
      </w:r>
    </w:p>
    <w:p w14:paraId="0B6D7FDF">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15.3 质量保证金</w:t>
      </w:r>
    </w:p>
    <w:p w14:paraId="5CE5A09E">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关于是否扣留质量保证金的约定：</w:t>
      </w:r>
      <w:r>
        <w:rPr>
          <w:rFonts w:hint="eastAsia" w:ascii="宋体" w:hAnsi="宋体" w:cs="宋体"/>
          <w:bCs/>
          <w:color w:val="000000" w:themeColor="text1"/>
          <w:sz w:val="24"/>
          <w:highlight w:val="none"/>
          <w:u w:val="single"/>
          <w14:textFill>
            <w14:solidFill>
              <w14:schemeClr w14:val="tx1"/>
            </w14:solidFill>
          </w14:textFill>
        </w:rPr>
        <w:t>工程结算总价款的 3 %</w:t>
      </w:r>
      <w:r>
        <w:rPr>
          <w:rFonts w:hint="eastAsia" w:ascii="宋体" w:hAnsi="宋体" w:cs="宋体"/>
          <w:bCs/>
          <w:color w:val="000000" w:themeColor="text1"/>
          <w:sz w:val="24"/>
          <w:highlight w:val="none"/>
          <w14:textFill>
            <w14:solidFill>
              <w14:schemeClr w14:val="tx1"/>
            </w14:solidFill>
          </w14:textFill>
        </w:rPr>
        <w:t>。</w:t>
      </w:r>
    </w:p>
    <w:p w14:paraId="4CF55CD1">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15.3.1 承包人提供质量保证金的方式</w:t>
      </w:r>
    </w:p>
    <w:p w14:paraId="35E515C7">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质量保证金采用以下第</w:t>
      </w:r>
      <w:r>
        <w:rPr>
          <w:rFonts w:hint="eastAsia" w:ascii="宋体" w:hAnsi="宋体" w:cs="宋体"/>
          <w:bCs/>
          <w:color w:val="000000" w:themeColor="text1"/>
          <w:sz w:val="24"/>
          <w:highlight w:val="none"/>
          <w:u w:val="single"/>
          <w14:textFill>
            <w14:solidFill>
              <w14:schemeClr w14:val="tx1"/>
            </w14:solidFill>
          </w14:textFill>
        </w:rPr>
        <w:t xml:space="preserve"> （2）</w:t>
      </w:r>
      <w:r>
        <w:rPr>
          <w:rFonts w:hint="eastAsia" w:ascii="宋体" w:hAnsi="宋体" w:cs="宋体"/>
          <w:bCs/>
          <w:color w:val="000000" w:themeColor="text1"/>
          <w:sz w:val="24"/>
          <w:highlight w:val="none"/>
          <w14:textFill>
            <w14:solidFill>
              <w14:schemeClr w14:val="tx1"/>
            </w14:solidFill>
          </w14:textFill>
        </w:rPr>
        <w:t>种方式：</w:t>
      </w:r>
    </w:p>
    <w:p w14:paraId="762E289A">
      <w:pPr>
        <w:autoSpaceDE w:val="0"/>
        <w:autoSpaceDN w:val="0"/>
        <w:adjustRightInd w:val="0"/>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（1）质量保证金保函，保证金额为：</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 xml:space="preserve">； </w:t>
      </w:r>
    </w:p>
    <w:p w14:paraId="40C58898">
      <w:pPr>
        <w:autoSpaceDE w:val="0"/>
        <w:autoSpaceDN w:val="0"/>
        <w:adjustRightInd w:val="0"/>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（2）</w:t>
      </w:r>
      <w:r>
        <w:rPr>
          <w:rFonts w:hint="eastAsia" w:ascii="宋体" w:hAnsi="宋体" w:cs="宋体"/>
          <w:bCs/>
          <w:color w:val="000000" w:themeColor="text1"/>
          <w:kern w:val="0"/>
          <w:sz w:val="24"/>
          <w:highlight w:val="none"/>
          <w:u w:val="single"/>
          <w14:textFill>
            <w14:solidFill>
              <w14:schemeClr w14:val="tx1"/>
            </w14:solidFill>
          </w14:textFill>
        </w:rPr>
        <w:t xml:space="preserve">  3  </w:t>
      </w:r>
      <w:r>
        <w:rPr>
          <w:rFonts w:hint="eastAsia" w:ascii="宋体" w:hAnsi="宋体" w:cs="宋体"/>
          <w:bCs/>
          <w:color w:val="000000" w:themeColor="text1"/>
          <w:kern w:val="0"/>
          <w:sz w:val="24"/>
          <w:highlight w:val="none"/>
          <w14:textFill>
            <w14:solidFill>
              <w14:schemeClr w14:val="tx1"/>
            </w14:solidFill>
          </w14:textFill>
        </w:rPr>
        <w:t>%的工程款；</w:t>
      </w:r>
    </w:p>
    <w:p w14:paraId="771461B3">
      <w:pPr>
        <w:autoSpaceDE w:val="0"/>
        <w:autoSpaceDN w:val="0"/>
        <w:adjustRightInd w:val="0"/>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（3）其他方式:</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785EF409">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 xml:space="preserve">15.3.2 质量保证金的扣留 </w:t>
      </w:r>
    </w:p>
    <w:p w14:paraId="289454B5">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质量保证金的扣留采取以下第</w:t>
      </w:r>
      <w:r>
        <w:rPr>
          <w:rFonts w:hint="eastAsia" w:ascii="宋体" w:hAnsi="宋体" w:cs="宋体"/>
          <w:bCs/>
          <w:color w:val="000000" w:themeColor="text1"/>
          <w:sz w:val="24"/>
          <w:highlight w:val="none"/>
          <w:u w:val="single"/>
          <w14:textFill>
            <w14:solidFill>
              <w14:schemeClr w14:val="tx1"/>
            </w14:solidFill>
          </w14:textFill>
        </w:rPr>
        <w:t xml:space="preserve"> （2） </w:t>
      </w:r>
      <w:r>
        <w:rPr>
          <w:rFonts w:hint="eastAsia" w:ascii="宋体" w:hAnsi="宋体" w:cs="宋体"/>
          <w:bCs/>
          <w:color w:val="000000" w:themeColor="text1"/>
          <w:sz w:val="24"/>
          <w:highlight w:val="none"/>
          <w14:textFill>
            <w14:solidFill>
              <w14:schemeClr w14:val="tx1"/>
            </w14:solidFill>
          </w14:textFill>
        </w:rPr>
        <w:t>种方式：</w:t>
      </w:r>
    </w:p>
    <w:p w14:paraId="13D20C85">
      <w:pPr>
        <w:autoSpaceDE w:val="0"/>
        <w:autoSpaceDN w:val="0"/>
        <w:adjustRightInd w:val="0"/>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（1）在支付工程进度款时逐次扣留，在此情形下，质量保证金的计算基数不包括预付款的支付、扣回以及价格调整的金额；</w:t>
      </w:r>
    </w:p>
    <w:p w14:paraId="23559B4A">
      <w:pPr>
        <w:autoSpaceDE w:val="0"/>
        <w:autoSpaceDN w:val="0"/>
        <w:adjustRightInd w:val="0"/>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（2）工程竣工结算时一次性扣留质量保证金；</w:t>
      </w:r>
    </w:p>
    <w:p w14:paraId="228F95EA">
      <w:pPr>
        <w:autoSpaceDE w:val="0"/>
        <w:autoSpaceDN w:val="0"/>
        <w:adjustRightInd w:val="0"/>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（3）其他扣留方式:</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374E8D58">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关于质量保证金的补充约定：</w:t>
      </w:r>
      <w:r>
        <w:rPr>
          <w:rFonts w:hint="eastAsia" w:ascii="宋体" w:hAnsi="宋体" w:cs="宋体"/>
          <w:bCs/>
          <w:color w:val="000000" w:themeColor="text1"/>
          <w:kern w:val="0"/>
          <w:sz w:val="24"/>
          <w:highlight w:val="none"/>
          <w:u w:val="single"/>
          <w:lang w:val="en-US" w:eastAsia="zh-CN"/>
          <w14:textFill>
            <w14:solidFill>
              <w14:schemeClr w14:val="tx1"/>
            </w14:solidFill>
          </w14:textFill>
        </w:rPr>
        <w:t xml:space="preserve"> 本工程约定的工程质量保修金为本工程竣工结算总价款的3%，发包人在质量缺陷期（2年）满后，经承包人提出书面申请，发包人审核确认再无质量问题及其他争议后，一次性返还质保金（无利息）。质保金退还后不免除承包人根据法律法规应负的保修责任 </w:t>
      </w:r>
      <w:r>
        <w:rPr>
          <w:rFonts w:hint="eastAsia" w:ascii="宋体" w:hAnsi="宋体" w:cs="宋体"/>
          <w:bCs/>
          <w:color w:val="000000" w:themeColor="text1"/>
          <w:kern w:val="0"/>
          <w:sz w:val="24"/>
          <w:highlight w:val="none"/>
          <w14:textFill>
            <w14:solidFill>
              <w14:schemeClr w14:val="tx1"/>
            </w14:solidFill>
          </w14:textFill>
        </w:rPr>
        <w:t>。</w:t>
      </w:r>
    </w:p>
    <w:bookmarkEnd w:id="427"/>
    <w:bookmarkEnd w:id="428"/>
    <w:p w14:paraId="5B3B30D3">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15.4保修</w:t>
      </w:r>
    </w:p>
    <w:bookmarkEnd w:id="429"/>
    <w:p w14:paraId="263A3378">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15.4.1 保修责任</w:t>
      </w:r>
    </w:p>
    <w:p w14:paraId="7A1956F5">
      <w:pPr>
        <w:spacing w:line="360" w:lineRule="auto"/>
        <w:ind w:firstLine="468" w:firstLineChars="195"/>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工程保修期为：</w:t>
      </w:r>
      <w:r>
        <w:rPr>
          <w:rFonts w:hint="eastAsia" w:ascii="宋体" w:hAnsi="宋体" w:cs="宋体"/>
          <w:bCs/>
          <w:color w:val="000000" w:themeColor="text1"/>
          <w:kern w:val="0"/>
          <w:sz w:val="24"/>
          <w:highlight w:val="none"/>
          <w:u w:val="single"/>
          <w14:textFill>
            <w14:solidFill>
              <w14:schemeClr w14:val="tx1"/>
            </w14:solidFill>
          </w14:textFill>
        </w:rPr>
        <w:t>见《工程质量保修书》。</w:t>
      </w:r>
    </w:p>
    <w:p w14:paraId="5D2FE5E8">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15.4.3 修复通知</w:t>
      </w:r>
    </w:p>
    <w:p w14:paraId="62C1AE6F">
      <w:pPr>
        <w:spacing w:line="360" w:lineRule="auto"/>
        <w:ind w:firstLine="468" w:firstLineChars="195"/>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承包人收到保修通知并到达工程现场的合理时间：</w:t>
      </w:r>
      <w:r>
        <w:rPr>
          <w:rFonts w:hint="eastAsia" w:ascii="宋体" w:hAnsi="宋体" w:cs="宋体"/>
          <w:bCs/>
          <w:color w:val="000000" w:themeColor="text1"/>
          <w:kern w:val="0"/>
          <w:sz w:val="24"/>
          <w:highlight w:val="none"/>
          <w:u w:val="single"/>
          <w14:textFill>
            <w14:solidFill>
              <w14:schemeClr w14:val="tx1"/>
            </w14:solidFill>
          </w14:textFill>
        </w:rPr>
        <w:t>发包人可以口头通知承包人并在口头通知后48小时内书面确认，承包人应在48小时期限内到达工程现场并修复缺陷或损坏；紧急情况必须于12小时内到达。若承包人未按约定时间达到现场并修复缺陷或损坏，则发包人有权自行或委托第三方进行修复缺陷或损坏，因此产生的维修费用或损失经审计咨询公司确认后，发包人有权在未经承包人同意的情况下自行从质量保证金中扣除该修复缺陷或损坏所产生的费用。</w:t>
      </w:r>
    </w:p>
    <w:bookmarkEnd w:id="430"/>
    <w:bookmarkEnd w:id="431"/>
    <w:bookmarkEnd w:id="432"/>
    <w:bookmarkEnd w:id="433"/>
    <w:p w14:paraId="545D54C2">
      <w:pPr>
        <w:spacing w:line="360" w:lineRule="auto"/>
        <w:ind w:firstLine="480"/>
        <w:rPr>
          <w:rFonts w:ascii="宋体" w:hAnsi="宋体" w:cs="宋体"/>
          <w:color w:val="000000" w:themeColor="text1"/>
          <w:sz w:val="24"/>
          <w:highlight w:val="none"/>
          <w14:textFill>
            <w14:solidFill>
              <w14:schemeClr w14:val="tx1"/>
            </w14:solidFill>
          </w14:textFill>
        </w:rPr>
      </w:pPr>
      <w:bookmarkStart w:id="456" w:name="_Toc351203648"/>
      <w:bookmarkStart w:id="457" w:name="_Toc280868717"/>
      <w:bookmarkStart w:id="458" w:name="_Toc280868718"/>
      <w:r>
        <w:rPr>
          <w:rFonts w:hint="eastAsia" w:ascii="宋体" w:hAnsi="宋体" w:cs="宋体"/>
          <w:color w:val="000000" w:themeColor="text1"/>
          <w:sz w:val="24"/>
          <w:highlight w:val="none"/>
          <w14:textFill>
            <w14:solidFill>
              <w14:schemeClr w14:val="tx1"/>
            </w14:solidFill>
          </w14:textFill>
        </w:rPr>
        <w:t>16. 违约</w:t>
      </w:r>
      <w:bookmarkEnd w:id="456"/>
    </w:p>
    <w:p w14:paraId="06ED82B0">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16.1 发包人违约</w:t>
      </w:r>
    </w:p>
    <w:p w14:paraId="50A755DC">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16.1.1发包人违约的情形</w:t>
      </w:r>
    </w:p>
    <w:p w14:paraId="68E687F0">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发包人违约的其他情形：</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1184E771">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16.1.2 发包人违约的责任</w:t>
      </w:r>
    </w:p>
    <w:p w14:paraId="54C5300E">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发包人违约责任的承担方式和计算方法：</w:t>
      </w:r>
    </w:p>
    <w:p w14:paraId="424A368E">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（1）因发包人原因未能在计划开工日期前7天内下达开工通知的违约责任：</w:t>
      </w:r>
      <w:r>
        <w:rPr>
          <w:rFonts w:hint="eastAsia" w:ascii="宋体" w:hAnsi="宋体" w:cs="宋体"/>
          <w:bCs/>
          <w:color w:val="000000" w:themeColor="text1"/>
          <w:kern w:val="0"/>
          <w:sz w:val="24"/>
          <w:highlight w:val="none"/>
          <w:u w:val="single"/>
          <w14:textFill>
            <w14:solidFill>
              <w14:schemeClr w14:val="tx1"/>
            </w14:solidFill>
          </w14:textFill>
        </w:rPr>
        <w:t>工期顺延</w:t>
      </w:r>
      <w:r>
        <w:rPr>
          <w:rFonts w:hint="eastAsia" w:ascii="宋体" w:hAnsi="宋体" w:cs="宋体"/>
          <w:bCs/>
          <w:color w:val="000000" w:themeColor="text1"/>
          <w:kern w:val="0"/>
          <w:sz w:val="24"/>
          <w:highlight w:val="none"/>
          <w14:textFill>
            <w14:solidFill>
              <w14:schemeClr w14:val="tx1"/>
            </w14:solidFill>
          </w14:textFill>
        </w:rPr>
        <w:t>。</w:t>
      </w:r>
    </w:p>
    <w:p w14:paraId="5CCFF520">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（2）因发包人原因未能按合同约定支付合同价款的违约责任：</w:t>
      </w:r>
      <w:r>
        <w:rPr>
          <w:rFonts w:hint="eastAsia" w:ascii="宋体" w:hAnsi="宋体" w:cs="宋体"/>
          <w:bCs/>
          <w:color w:val="000000" w:themeColor="text1"/>
          <w:kern w:val="0"/>
          <w:sz w:val="24"/>
          <w:highlight w:val="none"/>
          <w:u w:val="single"/>
          <w14:textFill>
            <w14:solidFill>
              <w14:schemeClr w14:val="tx1"/>
            </w14:solidFill>
          </w14:textFill>
        </w:rPr>
        <w:t xml:space="preserve"> 双方另行协商 </w:t>
      </w:r>
      <w:r>
        <w:rPr>
          <w:rFonts w:hint="eastAsia" w:ascii="宋体" w:hAnsi="宋体" w:cs="宋体"/>
          <w:bCs/>
          <w:color w:val="000000" w:themeColor="text1"/>
          <w:kern w:val="0"/>
          <w:sz w:val="24"/>
          <w:highlight w:val="none"/>
          <w14:textFill>
            <w14:solidFill>
              <w14:schemeClr w14:val="tx1"/>
            </w14:solidFill>
          </w14:textFill>
        </w:rPr>
        <w:t>。</w:t>
      </w:r>
    </w:p>
    <w:p w14:paraId="42DFE6A9">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（3）发包人违反第10.1款〔变更的范围〕第（2）项约定，自行实施被取消的工作或转由他人实施的违约责任：</w:t>
      </w:r>
      <w:r>
        <w:rPr>
          <w:rFonts w:hint="eastAsia" w:ascii="宋体" w:hAnsi="宋体" w:cs="宋体"/>
          <w:bCs/>
          <w:color w:val="000000" w:themeColor="text1"/>
          <w:kern w:val="0"/>
          <w:sz w:val="24"/>
          <w:highlight w:val="none"/>
          <w:u w:val="single"/>
          <w14:textFill>
            <w14:solidFill>
              <w14:schemeClr w14:val="tx1"/>
            </w14:solidFill>
          </w14:textFill>
        </w:rPr>
        <w:t xml:space="preserve">  见通用条款16.1.2   </w:t>
      </w:r>
      <w:r>
        <w:rPr>
          <w:rFonts w:hint="eastAsia" w:ascii="宋体" w:hAnsi="宋体" w:cs="宋体"/>
          <w:bCs/>
          <w:color w:val="000000" w:themeColor="text1"/>
          <w:kern w:val="0"/>
          <w:sz w:val="24"/>
          <w:highlight w:val="none"/>
          <w14:textFill>
            <w14:solidFill>
              <w14:schemeClr w14:val="tx1"/>
            </w14:solidFill>
          </w14:textFill>
        </w:rPr>
        <w:t>。</w:t>
      </w:r>
    </w:p>
    <w:p w14:paraId="105385D2">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12C28B08">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（5）因发包人违反合同约定造成暂停施工的违约责任：</w:t>
      </w:r>
      <w:r>
        <w:rPr>
          <w:rFonts w:hint="eastAsia" w:ascii="宋体" w:hAnsi="宋体" w:cs="宋体"/>
          <w:bCs/>
          <w:color w:val="000000" w:themeColor="text1"/>
          <w:kern w:val="0"/>
          <w:sz w:val="24"/>
          <w:highlight w:val="none"/>
          <w:u w:val="single"/>
          <w14:textFill>
            <w14:solidFill>
              <w14:schemeClr w14:val="tx1"/>
            </w14:solidFill>
          </w14:textFill>
        </w:rPr>
        <w:t xml:space="preserve"> 若影响工期的，工期予以顺延</w:t>
      </w:r>
      <w:r>
        <w:rPr>
          <w:rFonts w:hint="eastAsia" w:ascii="宋体" w:hAnsi="宋体" w:cs="宋体"/>
          <w:bCs/>
          <w:color w:val="000000" w:themeColor="text1"/>
          <w:kern w:val="0"/>
          <w:sz w:val="24"/>
          <w:highlight w:val="none"/>
          <w14:textFill>
            <w14:solidFill>
              <w14:schemeClr w14:val="tx1"/>
            </w14:solidFill>
          </w14:textFill>
        </w:rPr>
        <w:t>。</w:t>
      </w:r>
    </w:p>
    <w:p w14:paraId="3C5F091E">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（6）发包人无正当理由没有在约定期限内发出复工指示，导致承包人无法复工的违约责任：</w:t>
      </w:r>
      <w:r>
        <w:rPr>
          <w:rFonts w:hint="eastAsia" w:ascii="宋体" w:hAnsi="宋体" w:cs="宋体"/>
          <w:bCs/>
          <w:color w:val="000000" w:themeColor="text1"/>
          <w:kern w:val="0"/>
          <w:sz w:val="24"/>
          <w:highlight w:val="none"/>
          <w:u w:val="single"/>
          <w14:textFill>
            <w14:solidFill>
              <w14:schemeClr w14:val="tx1"/>
            </w14:solidFill>
          </w14:textFill>
        </w:rPr>
        <w:t>若影响工期的，工期予以顺延</w:t>
      </w:r>
      <w:r>
        <w:rPr>
          <w:rFonts w:hint="eastAsia" w:ascii="宋体" w:hAnsi="宋体" w:cs="宋体"/>
          <w:bCs/>
          <w:color w:val="000000" w:themeColor="text1"/>
          <w:kern w:val="0"/>
          <w:sz w:val="24"/>
          <w:highlight w:val="none"/>
          <w14:textFill>
            <w14:solidFill>
              <w14:schemeClr w14:val="tx1"/>
            </w14:solidFill>
          </w14:textFill>
        </w:rPr>
        <w:t>。</w:t>
      </w:r>
    </w:p>
    <w:p w14:paraId="5EDB874A">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（7）其他：</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055EE90A">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16.1.3 因发包人违约解除合同</w:t>
      </w:r>
    </w:p>
    <w:p w14:paraId="38410BD5">
      <w:pPr>
        <w:autoSpaceDE w:val="0"/>
        <w:autoSpaceDN w:val="0"/>
        <w:adjustRightInd w:val="0"/>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承包人按16.1.1项〔发包人违约的情形〕约定暂停施工满</w:t>
      </w:r>
      <w:r>
        <w:rPr>
          <w:rFonts w:hint="eastAsia" w:ascii="宋体" w:hAnsi="宋体" w:cs="宋体"/>
          <w:bCs/>
          <w:color w:val="000000" w:themeColor="text1"/>
          <w:kern w:val="0"/>
          <w:sz w:val="24"/>
          <w:highlight w:val="none"/>
          <w:u w:val="single"/>
          <w14:textFill>
            <w14:solidFill>
              <w14:schemeClr w14:val="tx1"/>
            </w14:solidFill>
          </w14:textFill>
        </w:rPr>
        <w:t xml:space="preserve"> 28 </w:t>
      </w:r>
      <w:r>
        <w:rPr>
          <w:rFonts w:hint="eastAsia" w:ascii="宋体" w:hAnsi="宋体" w:cs="宋体"/>
          <w:bCs/>
          <w:color w:val="000000" w:themeColor="text1"/>
          <w:kern w:val="0"/>
          <w:sz w:val="24"/>
          <w:highlight w:val="none"/>
          <w14:textFill>
            <w14:solidFill>
              <w14:schemeClr w14:val="tx1"/>
            </w14:solidFill>
          </w14:textFill>
        </w:rPr>
        <w:t>天后发包人仍不纠正其违约行为并致使合同目的不能实现的，承包人有权解除合同。</w:t>
      </w:r>
    </w:p>
    <w:p w14:paraId="5FC915BA">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16.2 承包人违约</w:t>
      </w:r>
    </w:p>
    <w:p w14:paraId="33159E17">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16.2.1 承包人违约的情形</w:t>
      </w:r>
    </w:p>
    <w:p w14:paraId="71C8296B">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承包人违约的其他情形：</w:t>
      </w:r>
      <w:r>
        <w:rPr>
          <w:rFonts w:hint="eastAsia" w:ascii="宋体" w:hAnsi="宋体" w:cs="宋体"/>
          <w:bCs/>
          <w:color w:val="000000" w:themeColor="text1"/>
          <w:kern w:val="0"/>
          <w:sz w:val="24"/>
          <w:highlight w:val="none"/>
          <w:u w:val="single"/>
          <w14:textFill>
            <w14:solidFill>
              <w14:schemeClr w14:val="tx1"/>
            </w14:solidFill>
          </w14:textFill>
        </w:rPr>
        <w:t>（1）承包人未在投标文件承诺供应商处采购材料或因承包人的原因未及时支付材料供应商材料款或承包人未按规定及时支付农民工工资等造成工期延误及不良社会影响的，发包人有权代扣代支付材料款及农民工工资，并且承包人应向发包人支付合同约定价款1%的违约金。</w:t>
      </w:r>
    </w:p>
    <w:p w14:paraId="4479094B">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（2）工程质量应达到合同约定的质量标准，质量标准的评定以国家或行业的质量检验评定标准为依据，因承包人原因工程质量达不到约定的质量标准的，承担相应的责任。</w:t>
      </w:r>
    </w:p>
    <w:p w14:paraId="3DD1037C">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3）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w:t>
      </w:r>
    </w:p>
    <w:p w14:paraId="2FC6B242">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4）承包人安全管理人员必须持证上岗，并负责检查现场和施工人员安全情况，如监理单位和发包人发现有不安全因素存在，经指出仍未按期纠正的，承包人每次应支付5000元人民币的违约金；出现安全事故，承包人自行承担责任和费用。</w:t>
      </w:r>
    </w:p>
    <w:p w14:paraId="4944F314">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5）承包人现场用电必须按照发包人要求，三相五线制，一机一闸，必须带漏电保护，不得使用电炉。如施工现场出现用电漏电或短路跳闸，造成停电或影响发包人用电及人身伤亡事故的，承包人承担由此造成的一切损失。</w:t>
      </w:r>
    </w:p>
    <w:p w14:paraId="1E5FB622">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（6）承包人安排的人员及设备配置必须和投标书施工组织设计所列人员及设备配置相符，否则承包人承担违约金1000元/人。</w:t>
      </w:r>
    </w:p>
    <w:p w14:paraId="3D2D0DDB">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7）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w:t>
      </w:r>
    </w:p>
    <w:p w14:paraId="3FF2BDD6">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8）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164615F5">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9）如承包人不能按合同规定的工期、质量、施工进度履行其义务，发包人认为工程进度缓慢、施工质量不能达到规定的质量要求，发包人有权解除合同，并以书面形式通知承包人合同即解除，无须诉诸司法机关或采取其他措施。合同解除，双方应共同对已完工程量进行确定，并按照双方商定的价款办理结算。</w:t>
      </w:r>
    </w:p>
    <w:p w14:paraId="50A98070">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（10）因承包人原因工程质量达不到协议书约定的质量标准，承包人承担违约责任，承包方按合同价的2%承担违约金外，另按国务院279号令有关规定处理。</w:t>
      </w:r>
    </w:p>
    <w:p w14:paraId="43685B89">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16.2.2承包人违约的责任</w:t>
      </w:r>
    </w:p>
    <w:p w14:paraId="05C44B43">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承包人违约责任的承担方式和计算方法：</w:t>
      </w:r>
      <w:r>
        <w:rPr>
          <w:rFonts w:hint="eastAsia" w:ascii="宋体" w:hAnsi="宋体" w:cs="宋体"/>
          <w:bCs/>
          <w:color w:val="000000" w:themeColor="text1"/>
          <w:kern w:val="0"/>
          <w:sz w:val="24"/>
          <w:highlight w:val="none"/>
          <w:u w:val="single"/>
          <w14:textFill>
            <w14:solidFill>
              <w14:schemeClr w14:val="tx1"/>
            </w14:solidFill>
          </w14:textFill>
        </w:rPr>
        <w:t xml:space="preserve"> 因承包人工程延误或工程质量达不到约定标准，造成项目工程建设工期延误或出现质量安全事故，发包人有权对承包人进行罚款处罚，罚款上限以具体工期延误造成损失或事故索赔而定。</w:t>
      </w:r>
    </w:p>
    <w:p w14:paraId="6915B8D6">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kern w:val="0"/>
          <w:sz w:val="24"/>
          <w:highlight w:val="none"/>
          <w:u w:val="single"/>
          <w14:textFill>
            <w14:solidFill>
              <w14:schemeClr w14:val="tx1"/>
            </w14:solidFill>
          </w14:textFill>
        </w:rPr>
        <w:t>因承包人施工工艺或者材料质量问题造成项目施工过程中断电，影响项目正常建设施工，工期延误或造成质量安全事故，发包人有权对承包人进行罚款处罚，第一次罚款5000元，第二次罚款10000元，以此类推。</w:t>
      </w:r>
      <w:r>
        <w:rPr>
          <w:rFonts w:hint="eastAsia" w:ascii="宋体" w:hAnsi="宋体" w:cs="宋体"/>
          <w:bCs/>
          <w:color w:val="000000" w:themeColor="text1"/>
          <w:sz w:val="24"/>
          <w:highlight w:val="none"/>
          <w:u w:val="single"/>
          <w14:textFill>
            <w14:solidFill>
              <w14:schemeClr w14:val="tx1"/>
            </w14:solidFill>
          </w14:textFill>
        </w:rPr>
        <w:t>并且承包人应承担由于工期延误对发包人造成的损失。</w:t>
      </w:r>
      <w:r>
        <w:rPr>
          <w:rFonts w:hint="eastAsia" w:ascii="宋体" w:hAnsi="宋体" w:cs="宋体"/>
          <w:bCs/>
          <w:color w:val="000000" w:themeColor="text1"/>
          <w:sz w:val="24"/>
          <w:highlight w:val="none"/>
          <w14:textFill>
            <w14:solidFill>
              <w14:schemeClr w14:val="tx1"/>
            </w14:solidFill>
          </w14:textFill>
        </w:rPr>
        <w:t xml:space="preserve">  </w:t>
      </w:r>
    </w:p>
    <w:p w14:paraId="43A606A5">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16.2.3 因承包人违约解除合同</w:t>
      </w:r>
    </w:p>
    <w:p w14:paraId="57142D63">
      <w:pPr>
        <w:spacing w:before="120" w:after="120"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关于承包人违约解除合同的特别约定：</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4C09F702">
      <w:pPr>
        <w:spacing w:before="120" w:after="120" w:line="360" w:lineRule="auto"/>
        <w:ind w:firstLine="480" w:firstLineChars="200"/>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16A85AF1">
      <w:pPr>
        <w:spacing w:line="360" w:lineRule="auto"/>
        <w:ind w:firstLine="480"/>
        <w:rPr>
          <w:rFonts w:ascii="宋体" w:hAnsi="宋体" w:cs="宋体"/>
          <w:color w:val="000000" w:themeColor="text1"/>
          <w:sz w:val="24"/>
          <w:highlight w:val="none"/>
          <w14:textFill>
            <w14:solidFill>
              <w14:schemeClr w14:val="tx1"/>
            </w14:solidFill>
          </w14:textFill>
        </w:rPr>
      </w:pPr>
      <w:bookmarkStart w:id="459" w:name="_Toc351203649"/>
      <w:r>
        <w:rPr>
          <w:rFonts w:hint="eastAsia" w:ascii="宋体" w:hAnsi="宋体" w:cs="宋体"/>
          <w:color w:val="000000" w:themeColor="text1"/>
          <w:sz w:val="24"/>
          <w:highlight w:val="none"/>
          <w14:textFill>
            <w14:solidFill>
              <w14:schemeClr w14:val="tx1"/>
            </w14:solidFill>
          </w14:textFill>
        </w:rPr>
        <w:t>17. 不可抗力</w:t>
      </w:r>
      <w:bookmarkEnd w:id="459"/>
      <w:r>
        <w:rPr>
          <w:rFonts w:hint="eastAsia" w:ascii="宋体" w:hAnsi="宋体" w:cs="宋体"/>
          <w:color w:val="000000" w:themeColor="text1"/>
          <w:sz w:val="24"/>
          <w:highlight w:val="none"/>
          <w14:textFill>
            <w14:solidFill>
              <w14:schemeClr w14:val="tx1"/>
            </w14:solidFill>
          </w14:textFill>
        </w:rPr>
        <w:t xml:space="preserve"> </w:t>
      </w:r>
      <w:bookmarkEnd w:id="457"/>
    </w:p>
    <w:p w14:paraId="79808A77">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17.1 不可抗力的确认</w:t>
      </w:r>
    </w:p>
    <w:p w14:paraId="6B27D941">
      <w:pPr>
        <w:spacing w:line="360" w:lineRule="auto"/>
        <w:ind w:firstLine="480" w:firstLineChars="200"/>
        <w:jc w:val="left"/>
        <w:rPr>
          <w:rFonts w:ascii="宋体" w:hAnsi="宋体" w:cs="宋体"/>
          <w:bCs/>
          <w:color w:val="000000" w:themeColor="text1"/>
          <w:kern w:val="0"/>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双方关于不可抗力的约定：执行《通用条款》第17条</w:t>
      </w:r>
      <w:r>
        <w:rPr>
          <w:rFonts w:hint="eastAsia" w:ascii="宋体" w:hAnsi="宋体" w:cs="宋体"/>
          <w:bCs/>
          <w:color w:val="000000" w:themeColor="text1"/>
          <w:kern w:val="0"/>
          <w:sz w:val="24"/>
          <w:highlight w:val="none"/>
          <w14:textFill>
            <w14:solidFill>
              <w14:schemeClr w14:val="tx1"/>
            </w14:solidFill>
          </w14:textFill>
        </w:rPr>
        <w:t>。</w:t>
      </w:r>
    </w:p>
    <w:p w14:paraId="27EB57C6">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17.4 因不可抗力解除合同</w:t>
      </w:r>
    </w:p>
    <w:p w14:paraId="74C75890">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合同解除后，发包人应在商定或确定发包人应支付款项后</w:t>
      </w:r>
      <w:r>
        <w:rPr>
          <w:rFonts w:hint="eastAsia" w:ascii="宋体" w:hAnsi="宋体" w:cs="宋体"/>
          <w:bCs/>
          <w:color w:val="000000" w:themeColor="text1"/>
          <w:sz w:val="24"/>
          <w:highlight w:val="none"/>
          <w:u w:val="single"/>
          <w14:textFill>
            <w14:solidFill>
              <w14:schemeClr w14:val="tx1"/>
            </w14:solidFill>
          </w14:textFill>
        </w:rPr>
        <w:t xml:space="preserve"> 28 </w:t>
      </w:r>
      <w:r>
        <w:rPr>
          <w:rFonts w:hint="eastAsia" w:ascii="宋体" w:hAnsi="宋体" w:cs="宋体"/>
          <w:bCs/>
          <w:color w:val="000000" w:themeColor="text1"/>
          <w:sz w:val="24"/>
          <w:highlight w:val="none"/>
          <w14:textFill>
            <w14:solidFill>
              <w14:schemeClr w14:val="tx1"/>
            </w14:solidFill>
          </w14:textFill>
        </w:rPr>
        <w:t>天内完成款项的支付。</w:t>
      </w:r>
    </w:p>
    <w:p w14:paraId="5AF8A282">
      <w:pPr>
        <w:spacing w:line="360" w:lineRule="auto"/>
        <w:ind w:firstLine="480"/>
        <w:rPr>
          <w:rFonts w:ascii="宋体" w:hAnsi="宋体" w:cs="宋体"/>
          <w:color w:val="000000" w:themeColor="text1"/>
          <w:sz w:val="24"/>
          <w:highlight w:val="none"/>
          <w14:textFill>
            <w14:solidFill>
              <w14:schemeClr w14:val="tx1"/>
            </w14:solidFill>
          </w14:textFill>
        </w:rPr>
      </w:pPr>
      <w:bookmarkStart w:id="460" w:name="_Toc351203650"/>
      <w:r>
        <w:rPr>
          <w:rFonts w:hint="eastAsia" w:ascii="宋体" w:hAnsi="宋体" w:cs="宋体"/>
          <w:color w:val="000000" w:themeColor="text1"/>
          <w:sz w:val="24"/>
          <w:highlight w:val="none"/>
          <w14:textFill>
            <w14:solidFill>
              <w14:schemeClr w14:val="tx1"/>
            </w14:solidFill>
          </w14:textFill>
        </w:rPr>
        <w:t>18. 保险</w:t>
      </w:r>
      <w:bookmarkEnd w:id="460"/>
    </w:p>
    <w:bookmarkEnd w:id="458"/>
    <w:p w14:paraId="478ADD23">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18.1 工程保险</w:t>
      </w:r>
    </w:p>
    <w:p w14:paraId="4E9104E5">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关于工程保险的特别约定：</w:t>
      </w:r>
      <w:r>
        <w:rPr>
          <w:rFonts w:hint="eastAsia" w:ascii="宋体" w:hAnsi="宋体" w:cs="宋体"/>
          <w:bCs/>
          <w:color w:val="000000" w:themeColor="text1"/>
          <w:kern w:val="0"/>
          <w:sz w:val="24"/>
          <w:highlight w:val="none"/>
          <w:u w:val="single"/>
          <w14:textFill>
            <w14:solidFill>
              <w14:schemeClr w14:val="tx1"/>
            </w14:solidFill>
          </w14:textFill>
        </w:rPr>
        <w:t xml:space="preserve"> 承包人必须为所有进入现场的职工办理意外伤害保险和工伤保险，并为施工场地内承包人的自有人员生命财产及施工机械设备办理保险，支付保险费用。承包人按施工安全规范采取预防事故的措施，确保施工安全和第三者安全，承包人负责所有参与施工人员的人身意外保险；凡施工中发生的一切安全事故，均由承包人承担责任，并依法进行经济赔偿。</w:t>
      </w:r>
    </w:p>
    <w:p w14:paraId="6D50011E">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18.3 其他保险</w:t>
      </w:r>
    </w:p>
    <w:p w14:paraId="7F186793">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关于其他保险的约定：</w:t>
      </w:r>
      <w:r>
        <w:rPr>
          <w:rFonts w:hint="eastAsia" w:ascii="宋体" w:hAnsi="宋体" w:cs="宋体"/>
          <w:bCs/>
          <w:color w:val="000000" w:themeColor="text1"/>
          <w:kern w:val="0"/>
          <w:sz w:val="24"/>
          <w:highlight w:val="none"/>
          <w:u w:val="single"/>
          <w14:textFill>
            <w14:solidFill>
              <w14:schemeClr w14:val="tx1"/>
            </w14:solidFill>
          </w14:textFill>
        </w:rPr>
        <w:t xml:space="preserve">   /    </w:t>
      </w:r>
      <w:r>
        <w:rPr>
          <w:rFonts w:hint="eastAsia" w:ascii="宋体" w:hAnsi="宋体" w:cs="宋体"/>
          <w:bCs/>
          <w:color w:val="000000" w:themeColor="text1"/>
          <w:kern w:val="0"/>
          <w:sz w:val="24"/>
          <w:highlight w:val="none"/>
          <w14:textFill>
            <w14:solidFill>
              <w14:schemeClr w14:val="tx1"/>
            </w14:solidFill>
          </w14:textFill>
        </w:rPr>
        <w:t>。</w:t>
      </w:r>
    </w:p>
    <w:p w14:paraId="2851C04B">
      <w:pPr>
        <w:spacing w:line="360" w:lineRule="auto"/>
        <w:ind w:firstLine="480" w:firstLine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承包人是否应为其施工设备等办理财产保险：</w:t>
      </w:r>
      <w:r>
        <w:rPr>
          <w:rFonts w:hint="eastAsia" w:ascii="宋体" w:hAnsi="宋体" w:cs="宋体"/>
          <w:bCs/>
          <w:color w:val="000000" w:themeColor="text1"/>
          <w:sz w:val="24"/>
          <w:highlight w:val="none"/>
          <w:u w:val="single"/>
          <w14:textFill>
            <w14:solidFill>
              <w14:schemeClr w14:val="tx1"/>
            </w14:solidFill>
          </w14:textFill>
        </w:rPr>
        <w:t xml:space="preserve">   /  </w:t>
      </w:r>
      <w:r>
        <w:rPr>
          <w:rFonts w:hint="eastAsia" w:ascii="宋体" w:hAnsi="宋体" w:cs="宋体"/>
          <w:bCs/>
          <w:color w:val="000000" w:themeColor="text1"/>
          <w:sz w:val="24"/>
          <w:highlight w:val="none"/>
          <w14:textFill>
            <w14:solidFill>
              <w14:schemeClr w14:val="tx1"/>
            </w14:solidFill>
          </w14:textFill>
        </w:rPr>
        <w:t>。</w:t>
      </w:r>
    </w:p>
    <w:p w14:paraId="0998C37E">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18.7 通知义务</w:t>
      </w:r>
    </w:p>
    <w:p w14:paraId="0508BE1A">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关于变更保险合同时的通知义务的约定：</w:t>
      </w:r>
      <w:r>
        <w:rPr>
          <w:rFonts w:hint="eastAsia" w:ascii="宋体" w:hAnsi="宋体" w:cs="宋体"/>
          <w:bCs/>
          <w:color w:val="000000" w:themeColor="text1"/>
          <w:sz w:val="24"/>
          <w:highlight w:val="none"/>
          <w:u w:val="single"/>
          <w14:textFill>
            <w14:solidFill>
              <w14:schemeClr w14:val="tx1"/>
            </w14:solidFill>
          </w14:textFill>
        </w:rPr>
        <w:t>如有，双方协商。</w:t>
      </w:r>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1053FBC2">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20.4仲裁或诉讼</w:t>
      </w:r>
      <w:bookmarkEnd w:id="449"/>
    </w:p>
    <w:p w14:paraId="30909D86">
      <w:pPr>
        <w:spacing w:after="12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因合同及合同有关事项发生的争议，按下列第</w:t>
      </w:r>
      <w:r>
        <w:rPr>
          <w:rFonts w:hint="eastAsia" w:ascii="宋体" w:hAnsi="宋体" w:cs="宋体"/>
          <w:bCs/>
          <w:color w:val="000000" w:themeColor="text1"/>
          <w:sz w:val="24"/>
          <w:highlight w:val="none"/>
          <w:u w:val="single"/>
          <w14:textFill>
            <w14:solidFill>
              <w14:schemeClr w14:val="tx1"/>
            </w14:solidFill>
          </w14:textFill>
        </w:rPr>
        <w:t xml:space="preserve"> (2) </w:t>
      </w:r>
      <w:r>
        <w:rPr>
          <w:rFonts w:hint="eastAsia" w:ascii="宋体" w:hAnsi="宋体" w:cs="宋体"/>
          <w:bCs/>
          <w:color w:val="000000" w:themeColor="text1"/>
          <w:sz w:val="24"/>
          <w:highlight w:val="none"/>
          <w14:textFill>
            <w14:solidFill>
              <w14:schemeClr w14:val="tx1"/>
            </w14:solidFill>
          </w14:textFill>
        </w:rPr>
        <w:t>种方式解决：</w:t>
      </w:r>
    </w:p>
    <w:p w14:paraId="4492098C">
      <w:pPr>
        <w:spacing w:line="360" w:lineRule="auto"/>
        <w:ind w:firstLine="480" w:firstLineChars="20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（1）向</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u w:val="single"/>
          <w:lang w:val="en-US" w:eastAsia="zh-CN"/>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仲裁委员会申请仲裁；</w:t>
      </w:r>
    </w:p>
    <w:p w14:paraId="138C8D75">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（2）向</w:t>
      </w:r>
      <w:r>
        <w:rPr>
          <w:rFonts w:hint="eastAsia" w:ascii="宋体" w:hAnsi="宋体" w:cs="宋体"/>
          <w:bCs/>
          <w:color w:val="000000" w:themeColor="text1"/>
          <w:sz w:val="24"/>
          <w:highlight w:val="none"/>
          <w:u w:val="single"/>
          <w14:textFill>
            <w14:solidFill>
              <w14:schemeClr w14:val="tx1"/>
            </w14:solidFill>
          </w14:textFill>
        </w:rPr>
        <w:t>工程所在地</w:t>
      </w:r>
      <w:r>
        <w:rPr>
          <w:rFonts w:hint="eastAsia" w:ascii="宋体" w:hAnsi="宋体" w:cs="宋体"/>
          <w:bCs/>
          <w:color w:val="000000" w:themeColor="text1"/>
          <w:sz w:val="24"/>
          <w:highlight w:val="none"/>
          <w14:textFill>
            <w14:solidFill>
              <w14:schemeClr w14:val="tx1"/>
            </w14:solidFill>
          </w14:textFill>
        </w:rPr>
        <w:t>人民法院起诉。</w:t>
      </w:r>
      <w:bookmarkEnd w:id="450"/>
      <w:bookmarkEnd w:id="451"/>
      <w:bookmarkEnd w:id="452"/>
      <w:bookmarkEnd w:id="453"/>
      <w:bookmarkEnd w:id="454"/>
      <w:bookmarkEnd w:id="455"/>
    </w:p>
    <w:p w14:paraId="74301183">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 补充条款</w:t>
      </w:r>
    </w:p>
    <w:p w14:paraId="5C26808A">
      <w:pPr>
        <w:adjustRightInd w:val="0"/>
        <w:snapToGrid w:val="0"/>
        <w:spacing w:line="360" w:lineRule="auto"/>
        <w:ind w:left="420" w:firstLine="120" w:firstLineChars="5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21.1关于安全防护、文明施工措施：</w:t>
      </w:r>
    </w:p>
    <w:p w14:paraId="1E0E685F">
      <w:pPr>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（1）承包人应当确保安全防护、文明施工措施费用专款专用，并单独列出安全防护、文明施工措施项目费用清单备查。</w:t>
      </w:r>
    </w:p>
    <w:p w14:paraId="64D7DC5B">
      <w:pPr>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（2）安全防护、文明施工措施费用用途：用于本工程施工，按照国家现行的建筑施工安全、施工现场环境与卫生标准和有关规定，购置和更新施工安全防护用具及设施、改善安全生产条件和作业环境等。</w:t>
      </w:r>
    </w:p>
    <w:p w14:paraId="6CD6495C">
      <w:pPr>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（3）承包人须认真组织实施施工组织设计中制定的安全防护、文明施工措施。</w:t>
      </w:r>
    </w:p>
    <w:p w14:paraId="2BA3D3D5">
      <w:pPr>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（4）本工程施工过程中的消防、环保管理应按照国家、当地及行业有关法律、法规执行。</w:t>
      </w:r>
    </w:p>
    <w:p w14:paraId="608DC169">
      <w:pPr>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（5）承包人须无条件执行发包人及</w:t>
      </w:r>
      <w:r>
        <w:rPr>
          <w:rFonts w:hint="eastAsia" w:ascii="宋体" w:hAnsi="宋体" w:cs="宋体"/>
          <w:bCs/>
          <w:color w:val="000000" w:themeColor="text1"/>
          <w:sz w:val="24"/>
          <w:highlight w:val="none"/>
          <w:u w:val="single"/>
          <w:lang w:val="en-US" w:eastAsia="zh-CN"/>
          <w14:textFill>
            <w14:solidFill>
              <w14:schemeClr w14:val="tx1"/>
            </w14:solidFill>
          </w14:textFill>
        </w:rPr>
        <w:t>西安市</w:t>
      </w:r>
      <w:r>
        <w:rPr>
          <w:rFonts w:hint="eastAsia" w:ascii="宋体" w:hAnsi="宋体" w:cs="宋体"/>
          <w:bCs/>
          <w:color w:val="000000" w:themeColor="text1"/>
          <w:sz w:val="24"/>
          <w:highlight w:val="none"/>
          <w:u w:val="single"/>
          <w14:textFill>
            <w14:solidFill>
              <w14:schemeClr w14:val="tx1"/>
            </w14:solidFill>
          </w14:textFill>
        </w:rPr>
        <w:t>管理部门针对合同约定项目及工程所有项目，制定的有关文明施工、安全防护、治污减霾等综合评比管理办法及相关文件要求。</w:t>
      </w:r>
    </w:p>
    <w:p w14:paraId="7C35AD3B">
      <w:pPr>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21.2在施工过程中，人员及设备安全均由承包人负责，并遵守发包人、监理单位及施工总包单位针对项目的相关安全管理规定，由此产生的安全措施投入费用由承包人承担，由于承包人操作不当或违反安全管理规定而造成的一系列安全施工其全部责任及相关费用均由承包人承担。</w:t>
      </w:r>
    </w:p>
    <w:p w14:paraId="451442D8">
      <w:pPr>
        <w:widowControl/>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21.3本合同约定施工项目施工期工地现场管理需完全服从发包人及监理方要求。</w:t>
      </w:r>
    </w:p>
    <w:p w14:paraId="6A3C16BB">
      <w:pPr>
        <w:widowControl/>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21.4工程施工管理流程：本工程所涉及的一切工程施工管理流程包括但不限于：进度计划、合同价款（工程进度款）支付、工程量确认、材料设备采购及供应、工程变更及确认、工程材料及设备认价、竣工验收与工程结算等工程管理文件，须先经监理单位审质审量并签字确认后，报发包人审核，在发包人审批签字后方可生效执行。</w:t>
      </w:r>
    </w:p>
    <w:p w14:paraId="010D8456">
      <w:pPr>
        <w:widowControl/>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21.</w:t>
      </w:r>
      <w:r>
        <w:rPr>
          <w:rFonts w:hint="eastAsia" w:ascii="宋体" w:hAnsi="宋体" w:cs="宋体"/>
          <w:bCs/>
          <w:color w:val="000000" w:themeColor="text1"/>
          <w:sz w:val="24"/>
          <w:highlight w:val="none"/>
          <w:u w:val="single"/>
          <w:lang w:val="en-US" w:eastAsia="zh-CN"/>
          <w14:textFill>
            <w14:solidFill>
              <w14:schemeClr w14:val="tx1"/>
            </w14:solidFill>
          </w14:textFill>
        </w:rPr>
        <w:t>5承包人在施工过程中应严格按照西安市住房和城乡建设局发布的《西安市建筑工程施工扬尘八个方面加严管控40条措施工作指南》（市建发[2023]152号）文组织施工，相关费用已包含在措施项目费当中。</w:t>
      </w:r>
    </w:p>
    <w:p w14:paraId="01634C85">
      <w:pPr>
        <w:widowControl/>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21.</w:t>
      </w:r>
      <w:r>
        <w:rPr>
          <w:rFonts w:hint="eastAsia" w:ascii="宋体" w:hAnsi="宋体" w:cs="宋体"/>
          <w:bCs/>
          <w:color w:val="000000" w:themeColor="text1"/>
          <w:sz w:val="24"/>
          <w:highlight w:val="none"/>
          <w:u w:val="single"/>
          <w:lang w:val="en-US" w:eastAsia="zh-CN"/>
          <w14:textFill>
            <w14:solidFill>
              <w14:schemeClr w14:val="tx1"/>
            </w14:solidFill>
          </w14:textFill>
        </w:rPr>
        <w:t>6</w:t>
      </w:r>
      <w:r>
        <w:rPr>
          <w:rFonts w:hint="eastAsia" w:ascii="宋体" w:hAnsi="宋体" w:cs="宋体"/>
          <w:bCs/>
          <w:color w:val="000000" w:themeColor="text1"/>
          <w:sz w:val="24"/>
          <w:highlight w:val="none"/>
          <w:u w:val="single"/>
          <w14:textFill>
            <w14:solidFill>
              <w14:schemeClr w14:val="tx1"/>
            </w14:solidFill>
          </w14:textFill>
        </w:rPr>
        <w:t>本合同内容与招标文件内容及招标文件附件内容不一致时，以本合同为准。</w:t>
      </w:r>
    </w:p>
    <w:p w14:paraId="5704B3B3">
      <w:pPr>
        <w:widowControl/>
        <w:adjustRightInd w:val="0"/>
        <w:snapToGrid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u w:val="single"/>
          <w14:textFill>
            <w14:solidFill>
              <w14:schemeClr w14:val="tx1"/>
            </w14:solidFill>
          </w14:textFill>
        </w:rPr>
        <w:t>21</w:t>
      </w:r>
      <w:r>
        <w:rPr>
          <w:rFonts w:hint="eastAsia" w:ascii="宋体" w:hAnsi="宋体" w:cs="宋体"/>
          <w:bCs/>
          <w:color w:val="000000" w:themeColor="text1"/>
          <w:sz w:val="24"/>
          <w:highlight w:val="none"/>
          <w:u w:val="single"/>
          <w:lang w:val="en-US" w:eastAsia="zh-CN"/>
          <w14:textFill>
            <w14:solidFill>
              <w14:schemeClr w14:val="tx1"/>
            </w14:solidFill>
          </w14:textFill>
        </w:rPr>
        <w:t>.7</w:t>
      </w:r>
      <w:r>
        <w:rPr>
          <w:rFonts w:hint="eastAsia" w:ascii="宋体" w:hAnsi="宋体" w:cs="宋体"/>
          <w:bCs/>
          <w:color w:val="000000" w:themeColor="text1"/>
          <w:sz w:val="24"/>
          <w:highlight w:val="none"/>
          <w:u w:val="single"/>
          <w14:textFill>
            <w14:solidFill>
              <w14:schemeClr w14:val="tx1"/>
            </w14:solidFill>
          </w14:textFill>
        </w:rPr>
        <w:t>本合同未尽事宜，双方另行友好协商，签订补充协议。</w:t>
      </w:r>
      <w:bookmarkEnd w:id="13"/>
      <w:bookmarkEnd w:id="14"/>
    </w:p>
    <w:p w14:paraId="14037A6D">
      <w:pPr>
        <w:spacing w:line="460" w:lineRule="exact"/>
        <w:ind w:firstLine="482" w:firstLineChars="200"/>
        <w:jc w:val="left"/>
        <w:rPr>
          <w:rFonts w:ascii="宋体" w:hAnsi="宋体"/>
          <w:b/>
          <w:color w:val="000000" w:themeColor="text1"/>
          <w:sz w:val="24"/>
          <w:highlight w:val="none"/>
          <w14:textFill>
            <w14:solidFill>
              <w14:schemeClr w14:val="tx1"/>
            </w14:solidFill>
          </w14:textFill>
        </w:rPr>
      </w:pPr>
      <w:r>
        <w:rPr>
          <w:rFonts w:ascii="宋体" w:hAnsi="宋体"/>
          <w:b/>
          <w:color w:val="000000" w:themeColor="text1"/>
          <w:sz w:val="24"/>
          <w:highlight w:val="none"/>
          <w14:textFill>
            <w14:solidFill>
              <w14:schemeClr w14:val="tx1"/>
            </w14:solidFill>
          </w14:textFill>
        </w:rPr>
        <w:t>附件</w:t>
      </w:r>
    </w:p>
    <w:p w14:paraId="0BCCC8FD">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附件1：工程质量保修书</w:t>
      </w:r>
    </w:p>
    <w:p w14:paraId="3F6F8A8F">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附件2：</w:t>
      </w:r>
      <w:r>
        <w:rPr>
          <w:rFonts w:hint="eastAsia" w:ascii="宋体" w:hAnsi="宋体"/>
          <w:color w:val="000000" w:themeColor="text1"/>
          <w:sz w:val="24"/>
          <w:highlight w:val="none"/>
          <w14:textFill>
            <w14:solidFill>
              <w14:schemeClr w14:val="tx1"/>
            </w14:solidFill>
          </w14:textFill>
        </w:rPr>
        <w:t>项目管理机构组成表</w:t>
      </w:r>
    </w:p>
    <w:p w14:paraId="1E48B3E6">
      <w:pPr>
        <w:spacing w:line="360" w:lineRule="auto"/>
        <w:rPr>
          <w:rFonts w:ascii="宋体" w:hAnsi="宋体"/>
          <w:color w:val="000000" w:themeColor="text1"/>
          <w:sz w:val="24"/>
          <w:highlight w:val="none"/>
          <w14:textFill>
            <w14:solidFill>
              <w14:schemeClr w14:val="tx1"/>
            </w14:solidFill>
          </w14:textFill>
        </w:rPr>
      </w:pPr>
    </w:p>
    <w:p w14:paraId="0B9FC1CE">
      <w:pPr>
        <w:spacing w:line="360" w:lineRule="auto"/>
        <w:rPr>
          <w:rFonts w:ascii="宋体" w:hAnsi="宋体"/>
          <w:color w:val="000000" w:themeColor="text1"/>
          <w:sz w:val="24"/>
          <w:highlight w:val="none"/>
          <w14:textFill>
            <w14:solidFill>
              <w14:schemeClr w14:val="tx1"/>
            </w14:solidFill>
          </w14:textFill>
        </w:rPr>
      </w:pPr>
    </w:p>
    <w:p w14:paraId="3D4EBF70">
      <w:pP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br w:type="page"/>
      </w:r>
    </w:p>
    <w:p w14:paraId="24764A4F">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附件1</w:t>
      </w:r>
      <w:r>
        <w:rPr>
          <w:rFonts w:hint="eastAsia" w:ascii="宋体" w:hAnsi="宋体"/>
          <w:color w:val="000000" w:themeColor="text1"/>
          <w:sz w:val="24"/>
          <w:highlight w:val="none"/>
          <w14:textFill>
            <w14:solidFill>
              <w14:schemeClr w14:val="tx1"/>
            </w14:solidFill>
          </w14:textFill>
        </w:rPr>
        <w:t>：</w:t>
      </w:r>
    </w:p>
    <w:p w14:paraId="5CBD953B">
      <w:pPr>
        <w:spacing w:before="120" w:beforeLines="50" w:after="120" w:afterLines="50" w:line="360" w:lineRule="auto"/>
        <w:jc w:val="center"/>
        <w:rPr>
          <w:rFonts w:ascii="宋体" w:hAnsi="宋体"/>
          <w:b/>
          <w:color w:val="000000" w:themeColor="text1"/>
          <w:sz w:val="28"/>
          <w:highlight w:val="none"/>
          <w14:textFill>
            <w14:solidFill>
              <w14:schemeClr w14:val="tx1"/>
            </w14:solidFill>
          </w14:textFill>
        </w:rPr>
      </w:pPr>
      <w:r>
        <w:rPr>
          <w:rFonts w:ascii="宋体" w:hAnsi="宋体"/>
          <w:b/>
          <w:color w:val="000000" w:themeColor="text1"/>
          <w:sz w:val="28"/>
          <w:highlight w:val="none"/>
          <w14:textFill>
            <w14:solidFill>
              <w14:schemeClr w14:val="tx1"/>
            </w14:solidFill>
          </w14:textFill>
        </w:rPr>
        <w:t>工程质量保修书</w:t>
      </w:r>
    </w:p>
    <w:p w14:paraId="73F5C96F">
      <w:pPr>
        <w:spacing w:line="360" w:lineRule="auto"/>
        <w:ind w:firstLine="480" w:firstLineChars="200"/>
        <w:rPr>
          <w:rFonts w:ascii="宋体" w:hAnsi="宋体"/>
          <w:color w:val="000000" w:themeColor="text1"/>
          <w:sz w:val="24"/>
          <w:highlight w:val="none"/>
          <w:u w:val="single"/>
          <w14:textFill>
            <w14:solidFill>
              <w14:schemeClr w14:val="tx1"/>
            </w14:solidFill>
          </w14:textFill>
        </w:rPr>
      </w:pPr>
      <w:r>
        <w:rPr>
          <w:rFonts w:ascii="宋体" w:hAnsi="宋体"/>
          <w:color w:val="000000" w:themeColor="text1"/>
          <w:sz w:val="24"/>
          <w:highlight w:val="none"/>
          <w14:textFill>
            <w14:solidFill>
              <w14:schemeClr w14:val="tx1"/>
            </w14:solidFill>
          </w14:textFill>
        </w:rPr>
        <w:t>发包人（全称）：</w:t>
      </w:r>
      <w:r>
        <w:rPr>
          <w:rFonts w:hint="eastAsia" w:ascii="宋体" w:hAnsi="宋体"/>
          <w:color w:val="000000" w:themeColor="text1"/>
          <w:sz w:val="24"/>
          <w:highlight w:val="none"/>
          <w:u w:val="single"/>
          <w:lang w:val="en-US" w:eastAsia="zh-CN"/>
          <w14:textFill>
            <w14:solidFill>
              <w14:schemeClr w14:val="tx1"/>
            </w14:solidFill>
          </w14:textFill>
        </w:rPr>
        <w:t>西安市灞桥区农业农村局</w:t>
      </w:r>
    </w:p>
    <w:p w14:paraId="771B6FAF">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　　承包人（全称）：</w:t>
      </w:r>
      <w:r>
        <w:rPr>
          <w:rFonts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w:t>
      </w:r>
    </w:p>
    <w:p w14:paraId="3E3FBF23">
      <w:pPr>
        <w:spacing w:line="360" w:lineRule="auto"/>
        <w:ind w:firstLine="48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发包人和承包人根据《中华人民共和国建筑法》和《建设工程质量管理条例》，经协商一致就</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lang w:val="en-US" w:eastAsia="zh-CN"/>
          <w14:textFill>
            <w14:solidFill>
              <w14:schemeClr w14:val="tx1"/>
            </w14:solidFill>
          </w14:textFill>
        </w:rPr>
        <w:t>塘村发展壮大村集体经济项目（灞桥樱桃试验示范站项目）二期</w:t>
      </w:r>
      <w:r>
        <w:rPr>
          <w:rFonts w:ascii="宋体" w:hAnsi="宋体"/>
          <w:color w:val="000000" w:themeColor="text1"/>
          <w:sz w:val="24"/>
          <w:highlight w:val="none"/>
          <w14:textFill>
            <w14:solidFill>
              <w14:schemeClr w14:val="tx1"/>
            </w14:solidFill>
          </w14:textFill>
        </w:rPr>
        <w:t>工程全称）签订工程质量保修书。</w:t>
      </w:r>
    </w:p>
    <w:p w14:paraId="7C176E48">
      <w:pPr>
        <w:spacing w:line="360" w:lineRule="auto"/>
        <w:ind w:firstLine="48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一、工程质量保修范围和内容</w:t>
      </w:r>
    </w:p>
    <w:p w14:paraId="3E4C4D17">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　　承包人在质量保修期内，按照有关法律规定和合同约定，承担工程质量保修责任。</w:t>
      </w:r>
    </w:p>
    <w:p w14:paraId="47EC82F9">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具体保修的内容，双方约定如下：</w:t>
      </w:r>
      <w:r>
        <w:rPr>
          <w:rFonts w:hint="eastAsia" w:ascii="宋体" w:hAnsi="宋体"/>
          <w:color w:val="000000" w:themeColor="text1"/>
          <w:sz w:val="24"/>
          <w:highlight w:val="none"/>
          <w:u w:val="single"/>
          <w14:textFill>
            <w14:solidFill>
              <w14:schemeClr w14:val="tx1"/>
            </w14:solidFill>
          </w14:textFill>
        </w:rPr>
        <w:t>承包人合同范围内的全部工程项目。</w:t>
      </w:r>
    </w:p>
    <w:p w14:paraId="50A36AC0">
      <w:pPr>
        <w:spacing w:line="360" w:lineRule="auto"/>
        <w:ind w:firstLine="48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二、质量保修期</w:t>
      </w:r>
    </w:p>
    <w:p w14:paraId="70D8E631">
      <w:pPr>
        <w:spacing w:line="360" w:lineRule="auto"/>
        <w:ind w:firstLine="480"/>
        <w:rPr>
          <w:rFonts w:hAnsi="宋体" w:cs="宋体"/>
          <w:color w:val="000000" w:themeColor="text1"/>
          <w:sz w:val="24"/>
          <w:highlight w:val="none"/>
          <w:u w:val="single"/>
          <w14:textFill>
            <w14:solidFill>
              <w14:schemeClr w14:val="tx1"/>
            </w14:solidFill>
          </w14:textFill>
        </w:rPr>
      </w:pPr>
      <w:r>
        <w:rPr>
          <w:rFonts w:hint="eastAsia" w:hAnsi="宋体" w:cs="宋体"/>
          <w:color w:val="000000" w:themeColor="text1"/>
          <w:sz w:val="24"/>
          <w:highlight w:val="none"/>
          <w:u w:val="single"/>
          <w14:textFill>
            <w14:solidFill>
              <w14:schemeClr w14:val="tx1"/>
            </w14:solidFill>
          </w14:textFill>
        </w:rPr>
        <w:t>质量保修期：根据《建设工程质量管理条例》及国家有关规定，结合具体工程，双方约定本工程质量保修期如下：</w:t>
      </w:r>
    </w:p>
    <w:p w14:paraId="294B9E2A">
      <w:pPr>
        <w:spacing w:line="360" w:lineRule="auto"/>
        <w:ind w:firstLine="480"/>
        <w:rPr>
          <w:rFonts w:hAnsi="宋体" w:cs="宋体"/>
          <w:color w:val="000000" w:themeColor="text1"/>
          <w:sz w:val="24"/>
          <w:highlight w:val="none"/>
          <w:u w:val="single"/>
          <w14:textFill>
            <w14:solidFill>
              <w14:schemeClr w14:val="tx1"/>
            </w14:solidFill>
          </w14:textFill>
        </w:rPr>
      </w:pPr>
      <w:r>
        <w:rPr>
          <w:rFonts w:hint="eastAsia" w:hAnsi="宋体" w:cs="宋体"/>
          <w:color w:val="000000" w:themeColor="text1"/>
          <w:sz w:val="24"/>
          <w:highlight w:val="none"/>
          <w:u w:val="single"/>
          <w14:textFill>
            <w14:solidFill>
              <w14:schemeClr w14:val="tx1"/>
            </w14:solidFill>
          </w14:textFill>
        </w:rPr>
        <w:t>1、地基基础工程和主体结构工程为设计文件规定的工程合理使用年限；</w:t>
      </w:r>
    </w:p>
    <w:p w14:paraId="369903F4">
      <w:pPr>
        <w:spacing w:line="360" w:lineRule="auto"/>
        <w:ind w:firstLine="480"/>
        <w:rPr>
          <w:rFonts w:hAnsi="宋体" w:cs="宋体"/>
          <w:color w:val="000000" w:themeColor="text1"/>
          <w:sz w:val="24"/>
          <w:highlight w:val="none"/>
          <w:u w:val="single"/>
          <w14:textFill>
            <w14:solidFill>
              <w14:schemeClr w14:val="tx1"/>
            </w14:solidFill>
          </w14:textFill>
        </w:rPr>
      </w:pPr>
      <w:r>
        <w:rPr>
          <w:rFonts w:hAnsi="宋体" w:cs="宋体"/>
          <w:color w:val="000000" w:themeColor="text1"/>
          <w:sz w:val="24"/>
          <w:highlight w:val="none"/>
          <w:u w:val="single"/>
          <w14:textFill>
            <w14:solidFill>
              <w14:schemeClr w14:val="tx1"/>
            </w14:solidFill>
          </w14:textFill>
        </w:rPr>
        <w:t>2</w:t>
      </w:r>
      <w:r>
        <w:rPr>
          <w:rFonts w:hint="eastAsia" w:hAnsi="宋体" w:cs="宋体"/>
          <w:color w:val="000000" w:themeColor="text1"/>
          <w:sz w:val="24"/>
          <w:highlight w:val="none"/>
          <w:u w:val="single"/>
          <w14:textFill>
            <w14:solidFill>
              <w14:schemeClr w14:val="tx1"/>
            </w14:solidFill>
          </w14:textFill>
        </w:rPr>
        <w:t>、包含园区道路、铺装工程为 2 年；</w:t>
      </w:r>
    </w:p>
    <w:p w14:paraId="3DA60939">
      <w:pPr>
        <w:spacing w:line="360" w:lineRule="auto"/>
        <w:ind w:firstLine="480"/>
        <w:rPr>
          <w:rFonts w:hAnsi="宋体" w:cs="宋体"/>
          <w:color w:val="000000" w:themeColor="text1"/>
          <w:sz w:val="24"/>
          <w:highlight w:val="none"/>
          <w:u w:val="single"/>
          <w14:textFill>
            <w14:solidFill>
              <w14:schemeClr w14:val="tx1"/>
            </w14:solidFill>
          </w14:textFill>
        </w:rPr>
      </w:pPr>
      <w:r>
        <w:rPr>
          <w:rFonts w:hAnsi="宋体" w:cs="宋体"/>
          <w:color w:val="000000" w:themeColor="text1"/>
          <w:sz w:val="24"/>
          <w:highlight w:val="none"/>
          <w:u w:val="single"/>
          <w14:textFill>
            <w14:solidFill>
              <w14:schemeClr w14:val="tx1"/>
            </w14:solidFill>
          </w14:textFill>
        </w:rPr>
        <w:t>3</w:t>
      </w:r>
      <w:r>
        <w:rPr>
          <w:rFonts w:hint="eastAsia" w:hAnsi="宋体" w:cs="宋体"/>
          <w:color w:val="000000" w:themeColor="text1"/>
          <w:sz w:val="24"/>
          <w:highlight w:val="none"/>
          <w:u w:val="single"/>
          <w14:textFill>
            <w14:solidFill>
              <w14:schemeClr w14:val="tx1"/>
            </w14:solidFill>
          </w14:textFill>
        </w:rPr>
        <w:t>、屋面及防水工程为 5 年；</w:t>
      </w:r>
    </w:p>
    <w:p w14:paraId="0BCE59AB">
      <w:pPr>
        <w:spacing w:line="360" w:lineRule="auto"/>
        <w:ind w:firstLine="480"/>
        <w:rPr>
          <w:rFonts w:hAnsi="宋体" w:cs="宋体"/>
          <w:color w:val="000000" w:themeColor="text1"/>
          <w:sz w:val="24"/>
          <w:highlight w:val="none"/>
          <w:u w:val="single"/>
          <w14:textFill>
            <w14:solidFill>
              <w14:schemeClr w14:val="tx1"/>
            </w14:solidFill>
          </w14:textFill>
        </w:rPr>
      </w:pPr>
      <w:r>
        <w:rPr>
          <w:rFonts w:hAnsi="宋体" w:cs="宋体"/>
          <w:color w:val="000000" w:themeColor="text1"/>
          <w:sz w:val="24"/>
          <w:highlight w:val="none"/>
          <w:u w:val="single"/>
          <w14:textFill>
            <w14:solidFill>
              <w14:schemeClr w14:val="tx1"/>
            </w14:solidFill>
          </w14:textFill>
        </w:rPr>
        <w:t>4</w:t>
      </w:r>
      <w:r>
        <w:rPr>
          <w:rFonts w:hint="eastAsia" w:hAnsi="宋体" w:cs="宋体"/>
          <w:color w:val="000000" w:themeColor="text1"/>
          <w:sz w:val="24"/>
          <w:highlight w:val="none"/>
          <w:u w:val="single"/>
          <w14:textFill>
            <w14:solidFill>
              <w14:schemeClr w14:val="tx1"/>
            </w14:solidFill>
          </w14:textFill>
        </w:rPr>
        <w:t>、电气管线、上下水管线安装工程为 2 年；</w:t>
      </w:r>
    </w:p>
    <w:p w14:paraId="50C6F4B1">
      <w:pPr>
        <w:spacing w:line="360" w:lineRule="auto"/>
        <w:ind w:firstLine="480"/>
        <w:rPr>
          <w:rFonts w:hAnsi="宋体" w:cs="宋体"/>
          <w:color w:val="000000" w:themeColor="text1"/>
          <w:sz w:val="24"/>
          <w:highlight w:val="none"/>
          <w:u w:val="single"/>
          <w14:textFill>
            <w14:solidFill>
              <w14:schemeClr w14:val="tx1"/>
            </w14:solidFill>
          </w14:textFill>
        </w:rPr>
      </w:pPr>
      <w:r>
        <w:rPr>
          <w:rFonts w:hAnsi="宋体" w:cs="宋体"/>
          <w:color w:val="000000" w:themeColor="text1"/>
          <w:sz w:val="24"/>
          <w:highlight w:val="none"/>
          <w:u w:val="single"/>
          <w14:textFill>
            <w14:solidFill>
              <w14:schemeClr w14:val="tx1"/>
            </w14:solidFill>
          </w14:textFill>
        </w:rPr>
        <w:t>5</w:t>
      </w:r>
      <w:r>
        <w:rPr>
          <w:rFonts w:hint="eastAsia" w:hAnsi="宋体" w:cs="宋体"/>
          <w:color w:val="000000" w:themeColor="text1"/>
          <w:sz w:val="24"/>
          <w:highlight w:val="none"/>
          <w:u w:val="single"/>
          <w14:textFill>
            <w14:solidFill>
              <w14:schemeClr w14:val="tx1"/>
            </w14:solidFill>
          </w14:textFill>
        </w:rPr>
        <w:t>、供热及供冷为 2 个采暖期及供冷期；</w:t>
      </w:r>
    </w:p>
    <w:p w14:paraId="3E3F1814">
      <w:pPr>
        <w:spacing w:line="360" w:lineRule="auto"/>
        <w:ind w:firstLine="480"/>
        <w:rPr>
          <w:rFonts w:hAnsi="宋体" w:cs="宋体"/>
          <w:color w:val="000000" w:themeColor="text1"/>
          <w:sz w:val="24"/>
          <w:highlight w:val="none"/>
          <w:u w:val="single"/>
          <w14:textFill>
            <w14:solidFill>
              <w14:schemeClr w14:val="tx1"/>
            </w14:solidFill>
          </w14:textFill>
        </w:rPr>
      </w:pPr>
      <w:r>
        <w:rPr>
          <w:rFonts w:hAnsi="宋体" w:cs="宋体"/>
          <w:color w:val="000000" w:themeColor="text1"/>
          <w:sz w:val="24"/>
          <w:highlight w:val="none"/>
          <w:u w:val="single"/>
          <w14:textFill>
            <w14:solidFill>
              <w14:schemeClr w14:val="tx1"/>
            </w14:solidFill>
          </w14:textFill>
        </w:rPr>
        <w:t>6</w:t>
      </w:r>
      <w:r>
        <w:rPr>
          <w:rFonts w:hint="eastAsia" w:hAnsi="宋体" w:cs="宋体"/>
          <w:color w:val="000000" w:themeColor="text1"/>
          <w:sz w:val="24"/>
          <w:highlight w:val="none"/>
          <w:u w:val="single"/>
          <w14:textFill>
            <w14:solidFill>
              <w14:schemeClr w14:val="tx1"/>
            </w14:solidFill>
          </w14:textFill>
        </w:rPr>
        <w:t>、室外管网及化粪池部位回填，室外道路及铺装基层以下回填等工程为 5年。</w:t>
      </w:r>
    </w:p>
    <w:p w14:paraId="6D22182C">
      <w:pPr>
        <w:spacing w:line="360" w:lineRule="auto"/>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三</w:t>
      </w:r>
      <w:r>
        <w:rPr>
          <w:rFonts w:ascii="宋体" w:hAnsi="宋体"/>
          <w:color w:val="000000" w:themeColor="text1"/>
          <w:sz w:val="24"/>
          <w:highlight w:val="none"/>
          <w14:textFill>
            <w14:solidFill>
              <w14:schemeClr w14:val="tx1"/>
            </w14:solidFill>
          </w14:textFill>
        </w:rPr>
        <w:t>、质量保修责任</w:t>
      </w:r>
    </w:p>
    <w:p w14:paraId="66E4F7E8">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1、属于保修范围和内容的项目，承包人应在接到修理通知之日后3天内派人修理。承包人不在约定期限内派人修理，发包人可委托其他人员修理，保修费用从质量保修金内扣除。</w:t>
      </w:r>
    </w:p>
    <w:p w14:paraId="7215EC8B">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承包人承诺：若承包人未在约定期限内响应或开始维修或者拒不维修、维修后仍不满足发包人要求的，发包人可自行安排或委托他人进行维修，维修费用以发包人（单方面）认定为准，费用直接从质量保修金内扣除，不足部分承包人接到发包人通知后3日内补足。</w:t>
      </w:r>
    </w:p>
    <w:p w14:paraId="20BB16C5">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2、发生须紧急抢修事故，承包人接到事故通知后，应立即到达事故现场抢修。非承包人施工质量引起的事故，抢修费用由发包人承担。</w:t>
      </w:r>
    </w:p>
    <w:p w14:paraId="7730E4C3">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在国家规定的工程合理使用期限内，承包应人确保工程质量。因承包人原因致使工程在合理使用期限内造成人身和财产损害的，承包人应承担损害赔偿责任。如因此使发包人陷入包括但不限于诉讼等形式的纠纷时，承包人还应赔偿发包人因此遭受的损失，损失范围包括但不限于发包人为此支出的违约金、赔偿金、律师费、诉讼费等。</w:t>
      </w:r>
    </w:p>
    <w:p w14:paraId="2CB364F3">
      <w:pPr>
        <w:spacing w:line="360" w:lineRule="auto"/>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四</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质量保修金的支付</w:t>
      </w:r>
    </w:p>
    <w:p w14:paraId="585123A7">
      <w:pPr>
        <w:spacing w:line="360" w:lineRule="auto"/>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1、本工程约定的工程质量保修金为本工程竣工结算总价款的</w:t>
      </w:r>
      <w:r>
        <w:rPr>
          <w:rFonts w:hint="eastAsia" w:ascii="宋体" w:hAnsi="宋体"/>
          <w:color w:val="000000" w:themeColor="text1"/>
          <w:sz w:val="24"/>
          <w:highlight w:val="none"/>
          <w:u w:val="single"/>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w:t>
      </w:r>
    </w:p>
    <w:p w14:paraId="4EE69F37">
      <w:pPr>
        <w:spacing w:line="360" w:lineRule="auto"/>
        <w:ind w:firstLine="480"/>
        <w:rPr>
          <w:rFonts w:hint="eastAsia" w:ascii="宋体" w:hAnsi="宋体" w:cs="宋体"/>
          <w:bCs/>
          <w:color w:val="000000" w:themeColor="text1"/>
          <w:kern w:val="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w:t>
      </w:r>
      <w:r>
        <w:rPr>
          <w:rFonts w:hint="eastAsia" w:ascii="宋体" w:hAnsi="宋体" w:cs="宋体"/>
          <w:bCs/>
          <w:color w:val="000000" w:themeColor="text1"/>
          <w:kern w:val="0"/>
          <w:sz w:val="24"/>
          <w:highlight w:val="none"/>
          <w:u w:val="single"/>
          <w:lang w:val="en-US" w:eastAsia="zh-CN"/>
          <w14:textFill>
            <w14:solidFill>
              <w14:schemeClr w14:val="tx1"/>
            </w14:solidFill>
          </w14:textFill>
        </w:rPr>
        <w:t xml:space="preserve">发包人在质量缺陷期（1年）满后，经承包人提出书面申请，发包人审核确认再无质量问题及其他争议后，一次性返还质保金（无利息）。质保金退还后不免除承包人根据法律法规应负的保修责任 </w:t>
      </w:r>
      <w:r>
        <w:rPr>
          <w:rFonts w:hint="eastAsia" w:ascii="宋体" w:hAnsi="宋体" w:cs="宋体"/>
          <w:bCs/>
          <w:color w:val="000000" w:themeColor="text1"/>
          <w:kern w:val="0"/>
          <w:sz w:val="24"/>
          <w:highlight w:val="none"/>
          <w14:textFill>
            <w14:solidFill>
              <w14:schemeClr w14:val="tx1"/>
            </w14:solidFill>
          </w14:textFill>
        </w:rPr>
        <w:t>。</w:t>
      </w:r>
    </w:p>
    <w:p w14:paraId="71254DCD">
      <w:pPr>
        <w:spacing w:line="360" w:lineRule="auto"/>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五、质量保修金的返还 </w:t>
      </w:r>
    </w:p>
    <w:p w14:paraId="54A6FA54">
      <w:pPr>
        <w:spacing w:line="360" w:lineRule="auto"/>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发包人在本合同约定质量保修期满后14天内，按照本合同约定返还保修金。</w:t>
      </w:r>
    </w:p>
    <w:p w14:paraId="7D866B5D">
      <w:pPr>
        <w:spacing w:line="360" w:lineRule="auto"/>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六、其他 </w:t>
      </w:r>
    </w:p>
    <w:p w14:paraId="013AA03D">
      <w:pPr>
        <w:spacing w:line="360" w:lineRule="auto"/>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双方约定的其他工程质量保修事项：</w:t>
      </w:r>
      <w:r>
        <w:rPr>
          <w:rFonts w:hint="eastAsia" w:ascii="宋体" w:hAnsi="宋体"/>
          <w:color w:val="000000" w:themeColor="text1"/>
          <w:sz w:val="24"/>
          <w:highlight w:val="none"/>
          <w:u w:val="single"/>
          <w14:textFill>
            <w14:solidFill>
              <w14:schemeClr w14:val="tx1"/>
            </w14:solidFill>
          </w14:textFill>
        </w:rPr>
        <w:t>本工程质保期满后，如果出现质量问题，承包人应在接到修理通知之日后3天内派人修理，由发包人承担维修费用。</w:t>
      </w:r>
    </w:p>
    <w:p w14:paraId="67851E7D">
      <w:pPr>
        <w:spacing w:line="360" w:lineRule="auto"/>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本工程质量保修作书为施工合同的附件，由施工合同发包人、承包人双方共同签订。</w:t>
      </w:r>
    </w:p>
    <w:p w14:paraId="6A795B94">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发包人(公章)：</w:t>
      </w:r>
      <w:r>
        <w:rPr>
          <w:rFonts w:ascii="宋体" w:hAnsi="宋体"/>
          <w:color w:val="000000" w:themeColor="text1"/>
          <w:sz w:val="24"/>
          <w:highlight w:val="none"/>
          <w:u w:val="single"/>
          <w14:textFill>
            <w14:solidFill>
              <w14:schemeClr w14:val="tx1"/>
            </w14:solidFill>
          </w14:textFill>
        </w:rPr>
        <w:t xml:space="preserve">  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承包人(公章)：</w:t>
      </w:r>
      <w:r>
        <w:rPr>
          <w:rFonts w:ascii="宋体" w:hAnsi="宋体"/>
          <w:color w:val="000000" w:themeColor="text1"/>
          <w:sz w:val="24"/>
          <w:highlight w:val="none"/>
          <w:u w:val="singl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p>
    <w:p w14:paraId="3947467A">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地  址：</w:t>
      </w:r>
      <w:r>
        <w:rPr>
          <w:rFonts w:ascii="宋体" w:hAnsi="宋体"/>
          <w:color w:val="000000" w:themeColor="text1"/>
          <w:sz w:val="24"/>
          <w:highlight w:val="none"/>
          <w:u w:val="single"/>
          <w14:textFill>
            <w14:solidFill>
              <w14:schemeClr w14:val="tx1"/>
            </w14:solidFill>
          </w14:textFill>
        </w:rPr>
        <w:t xml:space="preserve"> 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地  址：</w:t>
      </w:r>
      <w:r>
        <w:rPr>
          <w:rFonts w:ascii="宋体" w:hAnsi="宋体"/>
          <w:color w:val="000000" w:themeColor="text1"/>
          <w:sz w:val="24"/>
          <w:highlight w:val="none"/>
          <w:u w:val="singl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p>
    <w:p w14:paraId="72343852">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法定代表人(签字)：</w:t>
      </w:r>
      <w:r>
        <w:rPr>
          <w:rFonts w:ascii="宋体" w:hAnsi="宋体"/>
          <w:color w:val="000000" w:themeColor="text1"/>
          <w:sz w:val="24"/>
          <w:highlight w:val="none"/>
          <w:u w:val="singl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法定代表人(签字)：</w:t>
      </w:r>
      <w:r>
        <w:rPr>
          <w:rFonts w:ascii="宋体" w:hAnsi="宋体"/>
          <w:color w:val="000000" w:themeColor="text1"/>
          <w:sz w:val="24"/>
          <w:highlight w:val="none"/>
          <w:u w:val="singl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p>
    <w:p w14:paraId="4621BF19">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委托代理人(签字)：</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委托代理人(签字)：</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p>
    <w:p w14:paraId="7688D2BE">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电  话：</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电  话：</w:t>
      </w:r>
      <w:r>
        <w:rPr>
          <w:rFonts w:ascii="宋体" w:hAnsi="宋体"/>
          <w:color w:val="000000" w:themeColor="text1"/>
          <w:sz w:val="24"/>
          <w:highlight w:val="none"/>
          <w:u w:val="singl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p>
    <w:p w14:paraId="3CBF19AB">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传  真：</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传  真：</w:t>
      </w:r>
      <w:r>
        <w:rPr>
          <w:rFonts w:ascii="宋体" w:hAnsi="宋体"/>
          <w:color w:val="000000" w:themeColor="text1"/>
          <w:sz w:val="24"/>
          <w:highlight w:val="none"/>
          <w:u w:val="singl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p>
    <w:p w14:paraId="526D4FDA">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开户银行：</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开户银行：</w:t>
      </w:r>
      <w:r>
        <w:rPr>
          <w:rFonts w:ascii="宋体" w:hAnsi="宋体"/>
          <w:color w:val="000000" w:themeColor="text1"/>
          <w:sz w:val="24"/>
          <w:highlight w:val="none"/>
          <w:u w:val="single"/>
          <w14:textFill>
            <w14:solidFill>
              <w14:schemeClr w14:val="tx1"/>
            </w14:solidFill>
          </w14:textFill>
        </w:rPr>
        <w:t xml:space="preserve">   </w:t>
      </w:r>
    </w:p>
    <w:p w14:paraId="071A1838">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账  号：</w:t>
      </w:r>
      <w:r>
        <w:rPr>
          <w:rFonts w:ascii="宋体" w:hAnsi="宋体"/>
          <w:color w:val="000000" w:themeColor="text1"/>
          <w:sz w:val="24"/>
          <w:highlight w:val="none"/>
          <w:u w:val="single"/>
          <w14:textFill>
            <w14:solidFill>
              <w14:schemeClr w14:val="tx1"/>
            </w14:solidFill>
          </w14:textFill>
        </w:rPr>
        <w:t xml:space="preserve"> 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账</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号：</w:t>
      </w:r>
      <w:r>
        <w:rPr>
          <w:rFonts w:ascii="宋体" w:hAnsi="宋体"/>
          <w:color w:val="000000" w:themeColor="text1"/>
          <w:sz w:val="24"/>
          <w:highlight w:val="none"/>
          <w:u w:val="singl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p>
    <w:p w14:paraId="056CA641">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邮政编码：</w:t>
      </w:r>
      <w:r>
        <w:rPr>
          <w:rFonts w:ascii="宋体" w:hAnsi="宋体"/>
          <w:color w:val="000000" w:themeColor="text1"/>
          <w:sz w:val="24"/>
          <w:highlight w:val="none"/>
          <w:u w:val="single"/>
          <w14:textFill>
            <w14:solidFill>
              <w14:schemeClr w14:val="tx1"/>
            </w14:solidFill>
          </w14:textFill>
        </w:rPr>
        <w:t xml:space="preserve">    </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邮政编码：</w:t>
      </w:r>
      <w:r>
        <w:rPr>
          <w:rFonts w:ascii="宋体" w:hAnsi="宋体"/>
          <w:color w:val="000000" w:themeColor="text1"/>
          <w:sz w:val="24"/>
          <w:highlight w:val="none"/>
          <w:u w:val="single"/>
          <w14:textFill>
            <w14:solidFill>
              <w14:schemeClr w14:val="tx1"/>
            </w14:solidFill>
          </w14:textFill>
        </w:rPr>
        <w:t xml:space="preserve">   </w:t>
      </w:r>
    </w:p>
    <w:p w14:paraId="623C4E82">
      <w:pP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br w:type="page"/>
      </w:r>
    </w:p>
    <w:p w14:paraId="3AA9F8C4">
      <w:pPr>
        <w:spacing w:line="360" w:lineRule="auto"/>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附</w:t>
      </w:r>
      <w:bookmarkStart w:id="461" w:name="_Toc296891268"/>
      <w:bookmarkStart w:id="462" w:name="_Toc267261699"/>
      <w:bookmarkStart w:id="463" w:name="_Toc296346729"/>
      <w:bookmarkStart w:id="464" w:name="_Toc296944567"/>
      <w:bookmarkStart w:id="465" w:name="_Toc296891056"/>
      <w:bookmarkStart w:id="466" w:name="_Toc296347227"/>
      <w:bookmarkStart w:id="467" w:name="_Toc296503228"/>
      <w:r>
        <w:rPr>
          <w:rFonts w:ascii="宋体" w:hAnsi="宋体"/>
          <w:color w:val="000000" w:themeColor="text1"/>
          <w:sz w:val="24"/>
          <w:highlight w:val="none"/>
          <w14:textFill>
            <w14:solidFill>
              <w14:schemeClr w14:val="tx1"/>
            </w14:solidFill>
          </w14:textFill>
        </w:rPr>
        <w:t>件2：</w:t>
      </w:r>
    </w:p>
    <w:bookmarkEnd w:id="461"/>
    <w:bookmarkEnd w:id="462"/>
    <w:bookmarkEnd w:id="463"/>
    <w:bookmarkEnd w:id="464"/>
    <w:bookmarkEnd w:id="465"/>
    <w:bookmarkEnd w:id="466"/>
    <w:bookmarkEnd w:id="467"/>
    <w:p w14:paraId="51F94826">
      <w:pPr>
        <w:spacing w:before="120" w:beforeLines="50" w:after="120" w:afterLines="50" w:line="440" w:lineRule="exact"/>
        <w:jc w:val="center"/>
        <w:rPr>
          <w:rFonts w:ascii="宋体" w:hAnsi="宋体"/>
          <w:b/>
          <w:color w:val="000000" w:themeColor="text1"/>
          <w:sz w:val="28"/>
          <w:szCs w:val="21"/>
          <w:highlight w:val="none"/>
          <w14:textFill>
            <w14:solidFill>
              <w14:schemeClr w14:val="tx1"/>
            </w14:solidFill>
          </w14:textFill>
        </w:rPr>
      </w:pPr>
      <w:r>
        <w:rPr>
          <w:rFonts w:hint="eastAsia" w:ascii="宋体" w:hAnsi="宋体"/>
          <w:b/>
          <w:color w:val="000000" w:themeColor="text1"/>
          <w:sz w:val="28"/>
          <w:szCs w:val="21"/>
          <w:highlight w:val="none"/>
          <w14:textFill>
            <w14:solidFill>
              <w14:schemeClr w14:val="tx1"/>
            </w14:solidFill>
          </w14:textFill>
        </w:rPr>
        <w:t>项目管理机构组成表</w:t>
      </w:r>
    </w:p>
    <w:tbl>
      <w:tblPr>
        <w:tblStyle w:val="5"/>
        <w:tblW w:w="0" w:type="auto"/>
        <w:jc w:val="center"/>
        <w:tblLayout w:type="fixed"/>
        <w:tblCellMar>
          <w:top w:w="0" w:type="dxa"/>
          <w:left w:w="0" w:type="dxa"/>
          <w:bottom w:w="0" w:type="dxa"/>
          <w:right w:w="0" w:type="dxa"/>
        </w:tblCellMar>
      </w:tblPr>
      <w:tblGrid>
        <w:gridCol w:w="934"/>
        <w:gridCol w:w="704"/>
        <w:gridCol w:w="704"/>
        <w:gridCol w:w="1599"/>
        <w:gridCol w:w="850"/>
        <w:gridCol w:w="851"/>
        <w:gridCol w:w="850"/>
        <w:gridCol w:w="1449"/>
        <w:gridCol w:w="875"/>
      </w:tblGrid>
      <w:tr w14:paraId="74DE9F23">
        <w:tblPrEx>
          <w:tblCellMar>
            <w:top w:w="0" w:type="dxa"/>
            <w:left w:w="0" w:type="dxa"/>
            <w:bottom w:w="0" w:type="dxa"/>
            <w:right w:w="0" w:type="dxa"/>
          </w:tblCellMar>
        </w:tblPrEx>
        <w:trPr>
          <w:trHeight w:val="454" w:hRule="atLeast"/>
          <w:jc w:val="center"/>
        </w:trPr>
        <w:tc>
          <w:tcPr>
            <w:tcW w:w="934"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E5E4239">
            <w:pPr>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职务</w:t>
            </w:r>
          </w:p>
        </w:tc>
        <w:tc>
          <w:tcPr>
            <w:tcW w:w="70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56AB175">
            <w:pPr>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70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07EC823">
            <w:pPr>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职称</w:t>
            </w:r>
          </w:p>
        </w:tc>
        <w:tc>
          <w:tcPr>
            <w:tcW w:w="5599"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8C60B33">
            <w:pPr>
              <w:ind w:firstLine="1050" w:firstLineChars="5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执业或职业资格证明</w:t>
            </w:r>
          </w:p>
        </w:tc>
        <w:tc>
          <w:tcPr>
            <w:tcW w:w="875"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BDF0FC2">
            <w:pPr>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备注</w:t>
            </w:r>
          </w:p>
        </w:tc>
      </w:tr>
      <w:tr w14:paraId="7842CDAD">
        <w:tblPrEx>
          <w:tblCellMar>
            <w:top w:w="0" w:type="dxa"/>
            <w:left w:w="0" w:type="dxa"/>
            <w:bottom w:w="0" w:type="dxa"/>
            <w:right w:w="0" w:type="dxa"/>
          </w:tblCellMar>
        </w:tblPrEx>
        <w:trPr>
          <w:trHeight w:val="454" w:hRule="atLeast"/>
          <w:jc w:val="center"/>
        </w:trPr>
        <w:tc>
          <w:tcPr>
            <w:tcW w:w="934" w:type="dxa"/>
            <w:vMerge w:val="continue"/>
            <w:tcBorders>
              <w:top w:val="single" w:color="auto" w:sz="8" w:space="0"/>
              <w:left w:val="single" w:color="auto" w:sz="8" w:space="0"/>
              <w:bottom w:val="single" w:color="auto" w:sz="8" w:space="0"/>
              <w:right w:val="single" w:color="auto" w:sz="8" w:space="0"/>
            </w:tcBorders>
            <w:vAlign w:val="center"/>
          </w:tcPr>
          <w:p w14:paraId="1EA21769">
            <w:pPr>
              <w:jc w:val="left"/>
              <w:rPr>
                <w:rFonts w:ascii="宋体" w:hAnsi="宋体" w:cs="宋体"/>
                <w:color w:val="000000" w:themeColor="text1"/>
                <w:szCs w:val="21"/>
                <w:highlight w:val="none"/>
                <w14:textFill>
                  <w14:solidFill>
                    <w14:schemeClr w14:val="tx1"/>
                  </w14:solidFill>
                </w14:textFill>
              </w:rPr>
            </w:pPr>
          </w:p>
        </w:tc>
        <w:tc>
          <w:tcPr>
            <w:tcW w:w="704" w:type="dxa"/>
            <w:vMerge w:val="continue"/>
            <w:tcBorders>
              <w:top w:val="single" w:color="auto" w:sz="8" w:space="0"/>
              <w:left w:val="nil"/>
              <w:bottom w:val="single" w:color="auto" w:sz="8" w:space="0"/>
              <w:right w:val="single" w:color="auto" w:sz="8" w:space="0"/>
            </w:tcBorders>
            <w:vAlign w:val="center"/>
          </w:tcPr>
          <w:p w14:paraId="3FBDECE0">
            <w:pPr>
              <w:jc w:val="left"/>
              <w:rPr>
                <w:rFonts w:ascii="宋体" w:hAnsi="宋体" w:cs="宋体"/>
                <w:color w:val="000000" w:themeColor="text1"/>
                <w:szCs w:val="21"/>
                <w:highlight w:val="none"/>
                <w14:textFill>
                  <w14:solidFill>
                    <w14:schemeClr w14:val="tx1"/>
                  </w14:solidFill>
                </w14:textFill>
              </w:rPr>
            </w:pPr>
          </w:p>
        </w:tc>
        <w:tc>
          <w:tcPr>
            <w:tcW w:w="704" w:type="dxa"/>
            <w:vMerge w:val="continue"/>
            <w:tcBorders>
              <w:top w:val="single" w:color="auto" w:sz="8" w:space="0"/>
              <w:left w:val="nil"/>
              <w:bottom w:val="single" w:color="auto" w:sz="8" w:space="0"/>
              <w:right w:val="single" w:color="auto" w:sz="8" w:space="0"/>
            </w:tcBorders>
            <w:vAlign w:val="center"/>
          </w:tcPr>
          <w:p w14:paraId="2EC60927">
            <w:pPr>
              <w:jc w:val="left"/>
              <w:rPr>
                <w:rFonts w:ascii="宋体" w:hAnsi="宋体" w:cs="宋体"/>
                <w:color w:val="000000" w:themeColor="text1"/>
                <w:szCs w:val="21"/>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0C0B921C">
            <w:pPr>
              <w:ind w:firstLine="105" w:firstLineChars="5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证书名称</w:t>
            </w: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630D392D">
            <w:pPr>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级别</w:t>
            </w: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72FE0D27">
            <w:pPr>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证号</w:t>
            </w: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0D7A7189">
            <w:pPr>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专业</w:t>
            </w: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7DDA7A59">
            <w:pPr>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养老保险</w:t>
            </w:r>
          </w:p>
        </w:tc>
        <w:tc>
          <w:tcPr>
            <w:tcW w:w="875" w:type="dxa"/>
            <w:vMerge w:val="continue"/>
            <w:tcBorders>
              <w:top w:val="single" w:color="auto" w:sz="8" w:space="0"/>
              <w:left w:val="nil"/>
              <w:bottom w:val="single" w:color="auto" w:sz="8" w:space="0"/>
              <w:right w:val="single" w:color="auto" w:sz="8" w:space="0"/>
            </w:tcBorders>
            <w:vAlign w:val="center"/>
          </w:tcPr>
          <w:p w14:paraId="08D04351">
            <w:pPr>
              <w:jc w:val="left"/>
              <w:rPr>
                <w:rFonts w:ascii="宋体" w:hAnsi="宋体" w:cs="宋体"/>
                <w:color w:val="000000" w:themeColor="text1"/>
                <w:szCs w:val="21"/>
                <w:highlight w:val="none"/>
                <w14:textFill>
                  <w14:solidFill>
                    <w14:schemeClr w14:val="tx1"/>
                  </w14:solidFill>
                </w14:textFill>
              </w:rPr>
            </w:pPr>
          </w:p>
        </w:tc>
      </w:tr>
      <w:tr w14:paraId="55B0D86F">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04D20E9">
            <w:pPr>
              <w:jc w:val="left"/>
              <w:rPr>
                <w:rFonts w:ascii="宋体" w:hAnsi="宋体" w:cs="宋体"/>
                <w:color w:val="000000" w:themeColor="text1"/>
                <w:szCs w:val="21"/>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29DBF18E">
            <w:pPr>
              <w:jc w:val="left"/>
              <w:rPr>
                <w:rFonts w:ascii="宋体" w:hAnsi="宋体" w:cs="宋体"/>
                <w:color w:val="000000" w:themeColor="text1"/>
                <w:szCs w:val="21"/>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00E8767D">
            <w:pPr>
              <w:jc w:val="left"/>
              <w:rPr>
                <w:rFonts w:ascii="宋体" w:hAnsi="宋体" w:cs="宋体"/>
                <w:color w:val="000000" w:themeColor="text1"/>
                <w:szCs w:val="21"/>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35EFE722">
            <w:pPr>
              <w:jc w:val="left"/>
              <w:rPr>
                <w:rFonts w:ascii="宋体" w:hAnsi="宋体" w:cs="宋体"/>
                <w:color w:val="000000" w:themeColor="text1"/>
                <w:szCs w:val="21"/>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2DC724EE">
            <w:pPr>
              <w:jc w:val="left"/>
              <w:rPr>
                <w:rFonts w:ascii="宋体" w:hAnsi="宋体" w:cs="宋体"/>
                <w:color w:val="000000" w:themeColor="text1"/>
                <w:szCs w:val="21"/>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0485DA53">
            <w:pPr>
              <w:jc w:val="left"/>
              <w:rPr>
                <w:rFonts w:ascii="宋体" w:hAnsi="宋体" w:cs="宋体"/>
                <w:color w:val="000000" w:themeColor="text1"/>
                <w:szCs w:val="21"/>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5C349C4E">
            <w:pPr>
              <w:jc w:val="left"/>
              <w:rPr>
                <w:rFonts w:ascii="宋体" w:hAnsi="宋体" w:cs="宋体"/>
                <w:color w:val="000000" w:themeColor="text1"/>
                <w:szCs w:val="21"/>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6FB90959">
            <w:pPr>
              <w:jc w:val="left"/>
              <w:rPr>
                <w:rFonts w:ascii="宋体" w:hAnsi="宋体" w:cs="宋体"/>
                <w:color w:val="000000" w:themeColor="text1"/>
                <w:szCs w:val="21"/>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45595F53">
            <w:pPr>
              <w:jc w:val="left"/>
              <w:rPr>
                <w:rFonts w:ascii="宋体" w:hAnsi="宋体" w:cs="宋体"/>
                <w:color w:val="000000" w:themeColor="text1"/>
                <w:szCs w:val="21"/>
                <w:highlight w:val="none"/>
                <w14:textFill>
                  <w14:solidFill>
                    <w14:schemeClr w14:val="tx1"/>
                  </w14:solidFill>
                </w14:textFill>
              </w:rPr>
            </w:pPr>
          </w:p>
        </w:tc>
      </w:tr>
      <w:tr w14:paraId="1D931860">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4F7D671">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66EBEBBE">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1B70DE13">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240C7A1D">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0E41A8B5">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6738A569">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3E5C968C">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2422BCEF">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47A2ADCE">
            <w:pPr>
              <w:jc w:val="left"/>
              <w:rPr>
                <w:rFonts w:ascii="宋体" w:hAnsi="宋体" w:cs="宋体"/>
                <w:color w:val="000000" w:themeColor="text1"/>
                <w:sz w:val="24"/>
                <w:highlight w:val="none"/>
                <w14:textFill>
                  <w14:solidFill>
                    <w14:schemeClr w14:val="tx1"/>
                  </w14:solidFill>
                </w14:textFill>
              </w:rPr>
            </w:pPr>
          </w:p>
        </w:tc>
      </w:tr>
      <w:tr w14:paraId="60017A13">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A30E509">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619C21F7">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253E6670">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1E0B7206">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1C3CBC73">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7FAA96C7">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34A6FC69">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57582AD9">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41DAB75D">
            <w:pPr>
              <w:jc w:val="left"/>
              <w:rPr>
                <w:rFonts w:ascii="宋体" w:hAnsi="宋体" w:cs="宋体"/>
                <w:color w:val="000000" w:themeColor="text1"/>
                <w:sz w:val="24"/>
                <w:highlight w:val="none"/>
                <w14:textFill>
                  <w14:solidFill>
                    <w14:schemeClr w14:val="tx1"/>
                  </w14:solidFill>
                </w14:textFill>
              </w:rPr>
            </w:pPr>
          </w:p>
        </w:tc>
      </w:tr>
      <w:tr w14:paraId="02913CF6">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195532B">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78835000">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631DE603">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36E2E4C6">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3D5A7DE8">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5A52966D">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199D279F">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21A8A3BE">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5C668BBC">
            <w:pPr>
              <w:jc w:val="left"/>
              <w:rPr>
                <w:rFonts w:ascii="宋体" w:hAnsi="宋体" w:cs="宋体"/>
                <w:color w:val="000000" w:themeColor="text1"/>
                <w:sz w:val="24"/>
                <w:highlight w:val="none"/>
                <w14:textFill>
                  <w14:solidFill>
                    <w14:schemeClr w14:val="tx1"/>
                  </w14:solidFill>
                </w14:textFill>
              </w:rPr>
            </w:pPr>
          </w:p>
        </w:tc>
      </w:tr>
      <w:tr w14:paraId="128BC1DF">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06A415D">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513AE185">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6CED7C54">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5179A0F3">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50266594">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3FA9621F">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6EC88458">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62FA93BF">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01F90873">
            <w:pPr>
              <w:jc w:val="left"/>
              <w:rPr>
                <w:rFonts w:ascii="宋体" w:hAnsi="宋体" w:cs="宋体"/>
                <w:color w:val="000000" w:themeColor="text1"/>
                <w:sz w:val="24"/>
                <w:highlight w:val="none"/>
                <w14:textFill>
                  <w14:solidFill>
                    <w14:schemeClr w14:val="tx1"/>
                  </w14:solidFill>
                </w14:textFill>
              </w:rPr>
            </w:pPr>
          </w:p>
        </w:tc>
      </w:tr>
      <w:tr w14:paraId="250C852E">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58C9E2F">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73530E07">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1F53C8F7">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3CEF4B85">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1088C997">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11BD9869">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7D554A0F">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0CD2672A">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07EEF8A9">
            <w:pPr>
              <w:jc w:val="left"/>
              <w:rPr>
                <w:rFonts w:ascii="宋体" w:hAnsi="宋体" w:cs="宋体"/>
                <w:color w:val="000000" w:themeColor="text1"/>
                <w:sz w:val="24"/>
                <w:highlight w:val="none"/>
                <w14:textFill>
                  <w14:solidFill>
                    <w14:schemeClr w14:val="tx1"/>
                  </w14:solidFill>
                </w14:textFill>
              </w:rPr>
            </w:pPr>
          </w:p>
        </w:tc>
      </w:tr>
      <w:tr w14:paraId="7479C844">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99A2112">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13DA57CA">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0754C58D">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4F4EC3D7">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739E3EC0">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521D95EF">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3D2B9AE5">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25297768">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7C9556AF">
            <w:pPr>
              <w:jc w:val="left"/>
              <w:rPr>
                <w:rFonts w:ascii="宋体" w:hAnsi="宋体" w:cs="宋体"/>
                <w:color w:val="000000" w:themeColor="text1"/>
                <w:sz w:val="24"/>
                <w:highlight w:val="none"/>
                <w14:textFill>
                  <w14:solidFill>
                    <w14:schemeClr w14:val="tx1"/>
                  </w14:solidFill>
                </w14:textFill>
              </w:rPr>
            </w:pPr>
          </w:p>
        </w:tc>
      </w:tr>
      <w:tr w14:paraId="40ADCBF8">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671E036B">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4BA05171">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5917D9C8">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7EB9CD16">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5C698464">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7FAAC80E">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040E3896">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4271FEAB">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4BBF7712">
            <w:pPr>
              <w:jc w:val="left"/>
              <w:rPr>
                <w:rFonts w:ascii="宋体" w:hAnsi="宋体" w:cs="宋体"/>
                <w:color w:val="000000" w:themeColor="text1"/>
                <w:sz w:val="24"/>
                <w:highlight w:val="none"/>
                <w14:textFill>
                  <w14:solidFill>
                    <w14:schemeClr w14:val="tx1"/>
                  </w14:solidFill>
                </w14:textFill>
              </w:rPr>
            </w:pPr>
          </w:p>
        </w:tc>
      </w:tr>
      <w:tr w14:paraId="07343113">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E91E65C">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44802382">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60C69C8F">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2348A824">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59503AA4">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17EEDF2F">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2E7E26E2">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45984C3D">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561FE9CF">
            <w:pPr>
              <w:jc w:val="left"/>
              <w:rPr>
                <w:rFonts w:ascii="宋体" w:hAnsi="宋体" w:cs="宋体"/>
                <w:color w:val="000000" w:themeColor="text1"/>
                <w:sz w:val="24"/>
                <w:highlight w:val="none"/>
                <w14:textFill>
                  <w14:solidFill>
                    <w14:schemeClr w14:val="tx1"/>
                  </w14:solidFill>
                </w14:textFill>
              </w:rPr>
            </w:pPr>
          </w:p>
        </w:tc>
      </w:tr>
      <w:tr w14:paraId="595D778A">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3545184">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751DDD7A">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083C49FD">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43FE9608">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53BC0C2C">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78F4FF2D">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04A61942">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0DEFF5E9">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63EA11AF">
            <w:pPr>
              <w:jc w:val="left"/>
              <w:rPr>
                <w:rFonts w:ascii="宋体" w:hAnsi="宋体" w:cs="宋体"/>
                <w:color w:val="000000" w:themeColor="text1"/>
                <w:sz w:val="24"/>
                <w:highlight w:val="none"/>
                <w14:textFill>
                  <w14:solidFill>
                    <w14:schemeClr w14:val="tx1"/>
                  </w14:solidFill>
                </w14:textFill>
              </w:rPr>
            </w:pPr>
          </w:p>
        </w:tc>
      </w:tr>
      <w:tr w14:paraId="053C8CFB">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3270675">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0171704A">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4346075C">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712859DB">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6784D750">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598EE0CB">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35555077">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3BB20C1D">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6C7E6AF9">
            <w:pPr>
              <w:jc w:val="left"/>
              <w:rPr>
                <w:rFonts w:ascii="宋体" w:hAnsi="宋体" w:cs="宋体"/>
                <w:color w:val="000000" w:themeColor="text1"/>
                <w:sz w:val="24"/>
                <w:highlight w:val="none"/>
                <w14:textFill>
                  <w14:solidFill>
                    <w14:schemeClr w14:val="tx1"/>
                  </w14:solidFill>
                </w14:textFill>
              </w:rPr>
            </w:pPr>
          </w:p>
        </w:tc>
      </w:tr>
      <w:tr w14:paraId="5971577B">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27795DA">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1F44D91D">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2311FC0B">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6475DDDD">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6A8454C7">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399EACF9">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0B750E92">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570D879D">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5AB99C0B">
            <w:pPr>
              <w:jc w:val="left"/>
              <w:rPr>
                <w:rFonts w:ascii="宋体" w:hAnsi="宋体" w:cs="宋体"/>
                <w:color w:val="000000" w:themeColor="text1"/>
                <w:sz w:val="24"/>
                <w:highlight w:val="none"/>
                <w14:textFill>
                  <w14:solidFill>
                    <w14:schemeClr w14:val="tx1"/>
                  </w14:solidFill>
                </w14:textFill>
              </w:rPr>
            </w:pPr>
          </w:p>
        </w:tc>
      </w:tr>
      <w:tr w14:paraId="3BF16812">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51B7358">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6F9B2A16">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5E2667D6">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566556A7">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12778CF2">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04F1FF95">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1C087B37">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419EB9B0">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0B1510F7">
            <w:pPr>
              <w:jc w:val="left"/>
              <w:rPr>
                <w:rFonts w:ascii="宋体" w:hAnsi="宋体" w:cs="宋体"/>
                <w:color w:val="000000" w:themeColor="text1"/>
                <w:sz w:val="24"/>
                <w:highlight w:val="none"/>
                <w14:textFill>
                  <w14:solidFill>
                    <w14:schemeClr w14:val="tx1"/>
                  </w14:solidFill>
                </w14:textFill>
              </w:rPr>
            </w:pPr>
          </w:p>
        </w:tc>
      </w:tr>
      <w:tr w14:paraId="6A65A78A">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07719524">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0429099C">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1290CA55">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296C56A7">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6F4E2D85">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7DBD7BF9">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5123CF8E">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42217FB0">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7DD6F110">
            <w:pPr>
              <w:jc w:val="left"/>
              <w:rPr>
                <w:rFonts w:ascii="宋体" w:hAnsi="宋体" w:cs="宋体"/>
                <w:color w:val="000000" w:themeColor="text1"/>
                <w:sz w:val="24"/>
                <w:highlight w:val="none"/>
                <w14:textFill>
                  <w14:solidFill>
                    <w14:schemeClr w14:val="tx1"/>
                  </w14:solidFill>
                </w14:textFill>
              </w:rPr>
            </w:pPr>
          </w:p>
        </w:tc>
      </w:tr>
      <w:tr w14:paraId="068191D2">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0AB25588">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60C6F811">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37A5E4A8">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0757FA91">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4CF95B60">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1E10E527">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324F8D01">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15D020AD">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57748B0A">
            <w:pPr>
              <w:jc w:val="left"/>
              <w:rPr>
                <w:rFonts w:ascii="宋体" w:hAnsi="宋体" w:cs="宋体"/>
                <w:color w:val="000000" w:themeColor="text1"/>
                <w:sz w:val="24"/>
                <w:highlight w:val="none"/>
                <w14:textFill>
                  <w14:solidFill>
                    <w14:schemeClr w14:val="tx1"/>
                  </w14:solidFill>
                </w14:textFill>
              </w:rPr>
            </w:pPr>
          </w:p>
        </w:tc>
      </w:tr>
      <w:tr w14:paraId="18054B32">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52032BE">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6D2B25C3">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0BC1989B">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77B60B18">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4946DEA1">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4AF14E11">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135B1D2F">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3FD355F2">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795CEC71">
            <w:pPr>
              <w:jc w:val="left"/>
              <w:rPr>
                <w:rFonts w:ascii="宋体" w:hAnsi="宋体" w:cs="宋体"/>
                <w:color w:val="000000" w:themeColor="text1"/>
                <w:sz w:val="24"/>
                <w:highlight w:val="none"/>
                <w14:textFill>
                  <w14:solidFill>
                    <w14:schemeClr w14:val="tx1"/>
                  </w14:solidFill>
                </w14:textFill>
              </w:rPr>
            </w:pPr>
          </w:p>
        </w:tc>
      </w:tr>
      <w:tr w14:paraId="49943A73">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189F9A8">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39CAACED">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643F151F">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0D4EB59E">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344194F6">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42D5CD50">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44BE0F4E">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38F7450C">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4634F2DC">
            <w:pPr>
              <w:jc w:val="left"/>
              <w:rPr>
                <w:rFonts w:ascii="宋体" w:hAnsi="宋体" w:cs="宋体"/>
                <w:color w:val="000000" w:themeColor="text1"/>
                <w:sz w:val="24"/>
                <w:highlight w:val="none"/>
                <w14:textFill>
                  <w14:solidFill>
                    <w14:schemeClr w14:val="tx1"/>
                  </w14:solidFill>
                </w14:textFill>
              </w:rPr>
            </w:pPr>
          </w:p>
        </w:tc>
      </w:tr>
      <w:tr w14:paraId="48B47DD3">
        <w:tblPrEx>
          <w:tblCellMar>
            <w:top w:w="0" w:type="dxa"/>
            <w:left w:w="0" w:type="dxa"/>
            <w:bottom w:w="0" w:type="dxa"/>
            <w:right w:w="0" w:type="dxa"/>
          </w:tblCellMar>
        </w:tblPrEx>
        <w:trPr>
          <w:trHeight w:val="454" w:hRule="atLeast"/>
          <w:jc w:val="center"/>
        </w:trPr>
        <w:tc>
          <w:tcPr>
            <w:tcW w:w="93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304F143F">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7A0C8122">
            <w:pPr>
              <w:jc w:val="left"/>
              <w:rPr>
                <w:rFonts w:ascii="宋体" w:hAnsi="宋体" w:cs="宋体"/>
                <w:color w:val="000000" w:themeColor="text1"/>
                <w:sz w:val="24"/>
                <w:highlight w:val="none"/>
                <w14:textFill>
                  <w14:solidFill>
                    <w14:schemeClr w14:val="tx1"/>
                  </w14:solidFill>
                </w14:textFill>
              </w:rPr>
            </w:pPr>
          </w:p>
        </w:tc>
        <w:tc>
          <w:tcPr>
            <w:tcW w:w="704" w:type="dxa"/>
            <w:tcBorders>
              <w:top w:val="nil"/>
              <w:left w:val="nil"/>
              <w:bottom w:val="single" w:color="auto" w:sz="8" w:space="0"/>
              <w:right w:val="single" w:color="auto" w:sz="8" w:space="0"/>
            </w:tcBorders>
            <w:tcMar>
              <w:top w:w="0" w:type="dxa"/>
              <w:left w:w="108" w:type="dxa"/>
              <w:bottom w:w="0" w:type="dxa"/>
              <w:right w:w="108" w:type="dxa"/>
            </w:tcMar>
            <w:vAlign w:val="center"/>
          </w:tcPr>
          <w:p w14:paraId="73855FCF">
            <w:pPr>
              <w:jc w:val="left"/>
              <w:rPr>
                <w:rFonts w:ascii="宋体" w:hAnsi="宋体" w:cs="宋体"/>
                <w:color w:val="000000" w:themeColor="text1"/>
                <w:sz w:val="24"/>
                <w:highlight w:val="none"/>
                <w14:textFill>
                  <w14:solidFill>
                    <w14:schemeClr w14:val="tx1"/>
                  </w14:solidFill>
                </w14:textFill>
              </w:rPr>
            </w:pPr>
          </w:p>
        </w:tc>
        <w:tc>
          <w:tcPr>
            <w:tcW w:w="1599" w:type="dxa"/>
            <w:tcBorders>
              <w:top w:val="nil"/>
              <w:left w:val="nil"/>
              <w:bottom w:val="single" w:color="auto" w:sz="8" w:space="0"/>
              <w:right w:val="single" w:color="auto" w:sz="8" w:space="0"/>
            </w:tcBorders>
            <w:tcMar>
              <w:top w:w="0" w:type="dxa"/>
              <w:left w:w="108" w:type="dxa"/>
              <w:bottom w:w="0" w:type="dxa"/>
              <w:right w:w="108" w:type="dxa"/>
            </w:tcMar>
            <w:vAlign w:val="center"/>
          </w:tcPr>
          <w:p w14:paraId="54837BCF">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6206C51D">
            <w:pPr>
              <w:jc w:val="left"/>
              <w:rPr>
                <w:rFonts w:ascii="宋体" w:hAnsi="宋体" w:cs="宋体"/>
                <w:color w:val="000000" w:themeColor="text1"/>
                <w:sz w:val="24"/>
                <w:highlight w:val="none"/>
                <w14:textFill>
                  <w14:solidFill>
                    <w14:schemeClr w14:val="tx1"/>
                  </w14:solidFill>
                </w14:textFill>
              </w:rPr>
            </w:pP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14:paraId="67255C45">
            <w:pPr>
              <w:jc w:val="left"/>
              <w:rPr>
                <w:rFonts w:ascii="宋体" w:hAnsi="宋体" w:cs="宋体"/>
                <w:color w:val="000000" w:themeColor="text1"/>
                <w:sz w:val="24"/>
                <w:highlight w:val="none"/>
                <w14:textFill>
                  <w14:solidFill>
                    <w14:schemeClr w14:val="tx1"/>
                  </w14:solidFill>
                </w14:textFill>
              </w:rPr>
            </w:pPr>
          </w:p>
        </w:tc>
        <w:tc>
          <w:tcPr>
            <w:tcW w:w="850" w:type="dxa"/>
            <w:tcBorders>
              <w:top w:val="nil"/>
              <w:left w:val="nil"/>
              <w:bottom w:val="single" w:color="auto" w:sz="8" w:space="0"/>
              <w:right w:val="single" w:color="auto" w:sz="8" w:space="0"/>
            </w:tcBorders>
            <w:tcMar>
              <w:top w:w="0" w:type="dxa"/>
              <w:left w:w="108" w:type="dxa"/>
              <w:bottom w:w="0" w:type="dxa"/>
              <w:right w:w="108" w:type="dxa"/>
            </w:tcMar>
            <w:vAlign w:val="center"/>
          </w:tcPr>
          <w:p w14:paraId="0DB57542">
            <w:pPr>
              <w:jc w:val="left"/>
              <w:rPr>
                <w:rFonts w:ascii="宋体" w:hAnsi="宋体" w:cs="宋体"/>
                <w:color w:val="000000" w:themeColor="text1"/>
                <w:sz w:val="24"/>
                <w:highlight w:val="none"/>
                <w14:textFill>
                  <w14:solidFill>
                    <w14:schemeClr w14:val="tx1"/>
                  </w14:solidFill>
                </w14:textFill>
              </w:rPr>
            </w:pPr>
          </w:p>
        </w:tc>
        <w:tc>
          <w:tcPr>
            <w:tcW w:w="1449" w:type="dxa"/>
            <w:tcBorders>
              <w:top w:val="nil"/>
              <w:left w:val="nil"/>
              <w:bottom w:val="single" w:color="auto" w:sz="8" w:space="0"/>
              <w:right w:val="single" w:color="auto" w:sz="8" w:space="0"/>
            </w:tcBorders>
            <w:tcMar>
              <w:top w:w="0" w:type="dxa"/>
              <w:left w:w="108" w:type="dxa"/>
              <w:bottom w:w="0" w:type="dxa"/>
              <w:right w:w="108" w:type="dxa"/>
            </w:tcMar>
            <w:vAlign w:val="center"/>
          </w:tcPr>
          <w:p w14:paraId="69D9D323">
            <w:pPr>
              <w:jc w:val="left"/>
              <w:rPr>
                <w:rFonts w:ascii="宋体" w:hAnsi="宋体" w:cs="宋体"/>
                <w:color w:val="000000" w:themeColor="text1"/>
                <w:sz w:val="24"/>
                <w:highlight w:val="none"/>
                <w14:textFill>
                  <w14:solidFill>
                    <w14:schemeClr w14:val="tx1"/>
                  </w14:solidFill>
                </w14:textFill>
              </w:rPr>
            </w:pPr>
          </w:p>
        </w:tc>
        <w:tc>
          <w:tcPr>
            <w:tcW w:w="875" w:type="dxa"/>
            <w:tcBorders>
              <w:top w:val="nil"/>
              <w:left w:val="nil"/>
              <w:bottom w:val="single" w:color="auto" w:sz="8" w:space="0"/>
              <w:right w:val="single" w:color="auto" w:sz="8" w:space="0"/>
            </w:tcBorders>
            <w:tcMar>
              <w:top w:w="0" w:type="dxa"/>
              <w:left w:w="108" w:type="dxa"/>
              <w:bottom w:w="0" w:type="dxa"/>
              <w:right w:w="108" w:type="dxa"/>
            </w:tcMar>
            <w:vAlign w:val="center"/>
          </w:tcPr>
          <w:p w14:paraId="35F3DE1A">
            <w:pPr>
              <w:jc w:val="left"/>
              <w:rPr>
                <w:rFonts w:ascii="宋体" w:hAnsi="宋体" w:cs="宋体"/>
                <w:color w:val="000000" w:themeColor="text1"/>
                <w:sz w:val="24"/>
                <w:highlight w:val="none"/>
                <w14:textFill>
                  <w14:solidFill>
                    <w14:schemeClr w14:val="tx1"/>
                  </w14:solidFill>
                </w14:textFill>
              </w:rPr>
            </w:pPr>
          </w:p>
        </w:tc>
      </w:tr>
    </w:tbl>
    <w:p w14:paraId="76DD9356">
      <w:pPr>
        <w:rPr>
          <w:color w:val="000000" w:themeColor="text1"/>
          <w:highlight w:val="none"/>
          <w14:textFill>
            <w14:solidFill>
              <w14:schemeClr w14:val="tx1"/>
            </w14:solidFill>
          </w14:textFill>
        </w:rPr>
      </w:pPr>
    </w:p>
    <w:p w14:paraId="4FE1EAA9">
      <w:pPr>
        <w:pStyle w:val="7"/>
      </w:pPr>
    </w:p>
    <w:p w14:paraId="1DDE76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A21BAF"/>
    <w:rsid w:val="21A21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beforeLines="0" w:line="22" w:lineRule="atLeast"/>
    </w:pPr>
    <w:rPr>
      <w:rFonts w:ascii="宋体" w:hAnsi="宋体"/>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1 字符"/>
    <w:qFormat/>
    <w:uiPriority w:val="9"/>
    <w:rPr>
      <w:b/>
      <w:kern w:val="44"/>
      <w:sz w:val="30"/>
      <w:szCs w:val="22"/>
      <w:lang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99</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2025-09-03T09:37:00Z</dcterms:created>
  <dc:creator>可儿✨可心</dc:creator>
  <cp:lastModifiedBy>可儿✨可心</cp:lastModifiedBy>
  <dcterms:modified xsi:type="dcterms:W3CDTF">2025-09-03T09:38:17Z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AE126AFBDE5C487BB4B112619A0C4A95_11</vt:lpwstr>
  </property>
  <property fmtid="{D5CDD505-2E9C-101B-9397-08002B2CF9AE}" pid="4" name="KSOTemplateDocerSaveRecord">
    <vt:lpwstr>eyJoZGlkIjoiNmNlODdmYTZjMDBjNDU5NmRjMDlmMjkyYTZiMTNmMmQiLCJ1c2VySWQiOiIzNTIwODA2OTUifQ==</vt:lpwstr>
  </property>
</Properties>
</file>