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版本号：ZCTH2025-09-11720250930001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科技转化与推广服务项目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ZCTH2025-09-117</w:t>
      </w:r>
      <w:r>
        <w:br/>
      </w:r>
      <w:r>
        <w:br/>
      </w:r>
      <w:r>
        <w:br/>
      </w:r>
    </w:p>
    <w:p>
      <w:pPr>
        <w:pStyle w:val="null3"/>
        <w:jc w:val="center"/>
        <w:outlineLvl w:val="2"/>
      </w:pPr>
      <w:r>
        <w:rPr>
          <w:rFonts w:ascii="仿宋_GB2312" w:hAnsi="仿宋_GB2312" w:cs="仿宋_GB2312" w:eastAsia="仿宋_GB2312"/>
          <w:sz w:val="28"/>
          <w:b/>
        </w:rPr>
        <w:t>西安市灞桥区农业农村局</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西安市灞桥区农业农村局</w:t>
      </w:r>
      <w:r>
        <w:rPr>
          <w:rFonts w:ascii="仿宋_GB2312" w:hAnsi="仿宋_GB2312" w:cs="仿宋_GB2312" w:eastAsia="仿宋_GB2312"/>
        </w:rPr>
        <w:t>委托，拟对</w:t>
      </w:r>
      <w:r>
        <w:rPr>
          <w:rFonts w:ascii="仿宋_GB2312" w:hAnsi="仿宋_GB2312" w:cs="仿宋_GB2312" w:eastAsia="仿宋_GB2312"/>
        </w:rPr>
        <w:t>科技转化与推广服务项目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ZCTH2025-09-117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科技转化与推广服务项目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据耕地土壤环境质量类别划分成果，结合本地受污染耕地污染类型等实际情况，开展灞桥区受污染耕地安全利用(治理修复)试点示范，为全区受污染耕地安全利用(治理修复)提供可推广的规模化治理修复模式，推进全区受污染耕地安全利用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被授权人提交响应文件截止时间前半年内任意一个月的社会保障资金（养老保险或医疗保险）的缴纳证明或有效期内的劳动合同及被授权人身份证</w:t>
      </w:r>
    </w:p>
    <w:p>
      <w:pPr>
        <w:pStyle w:val="null3"/>
      </w:pPr>
      <w:r>
        <w:rPr>
          <w:rFonts w:ascii="仿宋_GB2312" w:hAnsi="仿宋_GB2312" w:cs="仿宋_GB2312" w:eastAsia="仿宋_GB2312"/>
        </w:rPr>
        <w:t>3、财务状况报告：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投标文件截止时间前一年内至少一个月已缴纳的增值税或企业所得税的凭据；其他组织和自然人提供投标文件截止时间前一年内至少一个月缴纳税收的凭据；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西安市灞桥区农业农村局（本级）经办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029-83629600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西安市灞桥区农业农村局</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依据磋商文件要求、响应文件承诺、合同及国家或行业标准。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据耕地土壤环境质量类别划分成果，结合本地受污染耕地污染类型等实际情况，开展灞桥区受污染耕地安全利用(治理修复)试点示范，为全区受污染耕地安全利用(治理修复)提供可推广的规模化治理修复模式，推进全区受污染耕地安全利用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598,000.00</w:t>
      </w:r>
    </w:p>
    <w:p>
      <w:pPr>
        <w:pStyle w:val="null3"/>
      </w:pPr>
      <w:r>
        <w:rPr>
          <w:rFonts w:ascii="仿宋_GB2312" w:hAnsi="仿宋_GB2312" w:cs="仿宋_GB2312" w:eastAsia="仿宋_GB2312"/>
        </w:rPr>
        <w:t>采购包最高限价（元）: 598,000.00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科技转化与推广服务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标的名称：科技转化与推广服务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1.在安全利用类耕地，落实农艺调控、土壤改良、生物修复等技术措施，技术覆盖率达到100%。</w:t>
            </w:r>
          </w:p>
          <w:p>
            <w:pPr>
              <w:pStyle w:val="null3"/>
              <w:jc w:val="both"/>
            </w:pPr>
            <w:r>
              <w:rPr>
                <w:rFonts w:ascii="仿宋_GB2312" w:hAnsi="仿宋_GB2312" w:cs="仿宋_GB2312" w:eastAsia="仿宋_GB2312"/>
                <w:sz w:val="28"/>
              </w:rPr>
              <w:t>2.在严格管控类耕地实施严格管控措施，管控措施覆盖率达到100%；主要功能或目标:在安全利用类耕地全部落实农艺调控、土壤改良、生物修复等技术措施，技术覆盖率达到100%。在严格管控类耕地全部落实休耕、种植结构调整等管控措施，推出特定农产品种植。为全区受污染耕地安全利用提供可推广的规模化治理修复模式，推进全区受污染耕地安全利用率达到93%以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(一)在落实安全利用技术措施时，要在示范品种替代，土壤钝化剂、叶面阻控剂三种措施中，至少选择2种措施联合使用。</w:t>
            </w:r>
          </w:p>
          <w:p>
            <w:pPr>
              <w:pStyle w:val="null3"/>
              <w:ind w:firstLine="560"/>
              <w:jc w:val="both"/>
            </w:pPr>
            <w:r>
              <w:rPr>
                <w:rFonts w:ascii="仿宋_GB2312" w:hAnsi="仿宋_GB2312" w:cs="仿宋_GB2312" w:eastAsia="仿宋_GB2312"/>
                <w:sz w:val="28"/>
              </w:rPr>
              <w:t>(二)项目结束时要开展协同监测。按照有关标准进行安全利用率核算和效果评估，加密采集土壤农产品协同监测样品进行监测评价，确保受污染耕地安全利用率完成93%的年度目标任务。(安全利用率核算参照2020省厅印发的《市级受污染耕地安全利用率</w:t>
            </w:r>
            <w:r>
              <w:rPr>
                <w:rFonts w:ascii="仿宋_GB2312" w:hAnsi="仿宋_GB2312" w:cs="仿宋_GB2312" w:eastAsia="仿宋_GB2312"/>
                <w:sz w:val="28"/>
              </w:rPr>
              <w:t>核实方</w:t>
            </w:r>
            <w:r>
              <w:rPr>
                <w:rFonts w:ascii="仿宋_GB2312" w:hAnsi="仿宋_GB2312" w:cs="仿宋_GB2312" w:eastAsia="仿宋_GB2312"/>
                <w:sz w:val="28"/>
              </w:rPr>
              <w:t>法》</w:t>
            </w:r>
            <w:r>
              <w:rPr>
                <w:rFonts w:ascii="仿宋_GB2312" w:hAnsi="仿宋_GB2312" w:cs="仿宋_GB2312" w:eastAsia="仿宋_GB2312"/>
                <w:sz w:val="28"/>
              </w:rPr>
              <w:t>每</w:t>
            </w:r>
            <w:r>
              <w:rPr>
                <w:rFonts w:ascii="仿宋_GB2312" w:hAnsi="仿宋_GB2312" w:cs="仿宋_GB2312" w:eastAsia="仿宋_GB2312"/>
                <w:sz w:val="28"/>
              </w:rPr>
              <w:t>150亩-1500亩布设1个点位，协同采集土壤及农产品样品，根据农产品合格率、措施应用面积、安全利用率测算公式进行测算全区受污染耕地安全利用率。)(治理效果评估依据《耕地污染治理效果评价准则》(NY/T3343-2018)，治理区域小于或等于150亩，最少布设 10个农产品采样点位，治理区域大于150亩，每15亩设置1个农产品采样点位,农产品样品超标率小于等于10%为治理达标。)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按“技术参数与性能指标”中需求配备相关设备设施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服务期一年，具体起止时间以合同约定为准。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或者邀请有关专家进行验收,验收费用由中标人支付；验收合格须交接项目实施的全部资料，并填写政府采购项目验收报告单。验收须以合同、磋商文件、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项目实施阶段完成后，通过项目验收后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为顺利推进政府采购电子化交易平台应用工作，供应商需要在线提交所有通过电子化交易平台实施的政府采购项目的投标文件，中标供应商在结果公告发布5个工作日内提供纸质版文件3份。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响应文件截止时间前半年内任意一个月的社会保障资金（养老保险或医疗保险）的缴纳证明或有效期内的劳动合同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提供投标文件截止时间前一年内至少一个月已缴纳的增值税或企业所得税的凭据；其他组织和自然人提供投标文件截止时间前一年内至少一个月缴纳税收的凭据；依法免税的投标人应提供相关文件证明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初步审查</w:t>
            </w:r>
          </w:p>
        </w:tc>
        <w:tc>
          <w:tcPr>
            <w:tcW w:type="dxa" w:w="3322"/>
          </w:tcPr>
          <w:p>
            <w:pPr>
              <w:pStyle w:val="null3"/>
            </w:pPr>
            <w:r>
              <w:rPr>
                <w:rFonts w:ascii="仿宋_GB2312" w:hAnsi="仿宋_GB2312" w:cs="仿宋_GB2312" w:eastAsia="仿宋_GB2312"/>
              </w:rPr>
              <w:t>依据磋商文件规定，从响应文件的有效性、完整性和对磋商文件的响应程度进行审查。出现下列情况之一者（但不限于），不得进入最终评审环节：（1）供应商的投标报价超过采购预算或最高限价的；（2）响应文件是否按磋商文件要求的数量、语言、计量单位、报价货币及签字盖章；（3）无投标有效期或有效期达不到磋商文件要求的；（4）响应文件附加了采购人难以接受的条件或条款的；（5）响应文件未实质性响应磋商文件要求的；（6）不符合法律、法规和磋商文件中规定的其他实质性要求的。</w:t>
            </w:r>
          </w:p>
        </w:tc>
        <w:tc>
          <w:tcPr>
            <w:tcW w:type="dxa" w:w="1661"/>
          </w:tcPr>
          <w:p>
            <w:pPr>
              <w:pStyle w:val="null3"/>
            </w:pPr>
            <w:r>
              <w:rPr>
                <w:rFonts w:ascii="仿宋_GB2312" w:hAnsi="仿宋_GB2312" w:cs="仿宋_GB2312" w:eastAsia="仿宋_GB2312"/>
              </w:rPr>
              <w:t>响应文件封面 服务内容及服务邀请应答表 商务应答表 其他证明材料.docx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服务方案包含但不限于：①对本项目建设背景和服务内容的理解、分析；②对本项目制定先进、科学的技术和思路；③服务目标；④服务计划等。 评审标准：1.完整性：方案须全面，思路清晰、分析透彻，内容完整、方案科学、合理； 2.可实施性；切合本项目实际情况，步骤明确、可操作性强； 3.针对性：总体方案能够紧扣项目实际情况，专业性强、内容科学、合理。 赋分标准（满分16分）： ①每一项评审内容完全满足评审标准得4分； ②每一项评审内容若存在方案不完整、可实施性不强、针对性不强等方面，扣0.5-3.5分； ③每一项评审内容不提供或完全背离评审标准得0分。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评审内容：制定项目实施方案，方案包括但不限于①污染现状分析；②试验区建设；③技术推广示范；④进度控制计划；⑤资料收集、数据分析、成果出具、协调等。 评审标准：1.完整性：方案须全面，思路清晰、分析透彻，内容完整、方案科学、合理； 2.可实施性；切合本项目实际情况，步骤明确、可操作性强； 3.针对性：总体方案能够紧扣项目实际情况，专业性强、内容科学、合理。 赋分标准（满分20分）： ①每一项评审内容完全满足评审标准得4分； ②每一项评审内容若存在方案不完整、可实施性不强、针对性不强等方面，扣0.5-3.5分； 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质量控制措施及目标</w:t>
            </w:r>
          </w:p>
        </w:tc>
        <w:tc>
          <w:tcPr>
            <w:tcW w:type="dxa" w:w="2492"/>
          </w:tcPr>
          <w:p>
            <w:pPr>
              <w:pStyle w:val="null3"/>
            </w:pPr>
            <w:r>
              <w:rPr>
                <w:rFonts w:ascii="仿宋_GB2312" w:hAnsi="仿宋_GB2312" w:cs="仿宋_GB2312" w:eastAsia="仿宋_GB2312"/>
              </w:rPr>
              <w:t>评审内容：针对本项目提供具体可行的质量控制措施及目标，包括但不限于①质量目标；②质量保证措施等。 评审标准：1.完整性：方案须全面，思路清晰、分析透彻，内容完整、方案科学、合理； 2.可实施性；切合本项目实际情况，步骤明确、可操作性强； 3.针对性：总体方案能够紧扣项目实际情况，专业性强、内容科学、合理。 赋分标准（满分8分）： ①每一项评审内容完全满足评审标准得4分； ②每一项评审内容若存在方案不完整、可实施性不强、针对性不强等方面，扣0.5-3.5分；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评审内容：针对本项目提供具体可行的团队配置方案，包括但不限于①组织机构；②管理制度；③企业内部工作奖罚机制等。 评审标准：1.完整性：方案须全面，思路清晰、分析透彻，内容完整、方案科学、合理； 2.可实施性；切合本项目实际情况，步骤明确、可操作性强； 3.针对性：总体方案能够紧扣项目实际情况，专业性强、内容科学、合理。 赋分标准（满分12分）： ①每一项评审内容完全满足评审标准得4分； ②每一项评审内容若存在方案不完整、可实施性不强、针对性不强等方面，扣0.5-3.5分；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依据采购需求配备检测设备按其响应程度计[0-5]分。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评审内容：根据本项目特点制定档案管理方案，包括但不限于：①档案规划和保管措施②档案的备案登记和移交措施③保密措施等。 评审标准：1.完整性：方案须全面，思路清晰、分析透彻，内容完整、方案科学、合理； 2.可实施性；切合本项目实际情况，步骤明确、可操作性强； 3.针对性：总体方案能够紧扣项目实际情况，专业性强、内容科学、合理。 赋分标准（满分12分）： ①每一项评审内容完全满足评审标准得4分； ②每一项评审内容若存在方案不完整、可实施性不强、针对性不强等方面，扣0.5-3.5分；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服务承诺及措施</w:t>
            </w:r>
          </w:p>
        </w:tc>
        <w:tc>
          <w:tcPr>
            <w:tcW w:type="dxa" w:w="2492"/>
          </w:tcPr>
          <w:p>
            <w:pPr>
              <w:pStyle w:val="null3"/>
            </w:pPr>
            <w:r>
              <w:rPr>
                <w:rFonts w:ascii="仿宋_GB2312" w:hAnsi="仿宋_GB2312" w:cs="仿宋_GB2312" w:eastAsia="仿宋_GB2312"/>
              </w:rPr>
              <w:t>针对本项目服务内容和要求提供详细的服务承诺、保密承诺及采取的具体可行的措施，计[0-5]分。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提出有利于本项目的合理化建议, 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供应商具有2022年1月至今的同类业绩证明文件（以合同签订时间为准），每提供一个得2分，满分8分。 注：响应文件中附加盖供应商公章的合同复印件。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