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3591D">
      <w:pPr>
        <w:shd w:val="clear"/>
        <w:spacing w:after="120"/>
        <w:jc w:val="center"/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0"/>
          <w:szCs w:val="20"/>
          <w:highlight w:val="none"/>
          <w:lang w:val="en-US" w:eastAsia="zh-CN" w:bidi="ar-SA"/>
        </w:rPr>
        <w:t>技术规格响应表</w:t>
      </w:r>
    </w:p>
    <w:p w14:paraId="3B63381D">
      <w:pPr>
        <w:wordWrap w:val="0"/>
        <w:spacing w:line="360" w:lineRule="auto"/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</w:pPr>
    </w:p>
    <w:p w14:paraId="2030243A">
      <w:pPr>
        <w:wordWrap w:val="0"/>
        <w:spacing w:line="360" w:lineRule="auto"/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  <w:t>项目名称：灞桥区神鹿坊小学拆迁分流设备采购项目</w:t>
      </w:r>
    </w:p>
    <w:p w14:paraId="1B2AAD0D">
      <w:pPr>
        <w:wordWrap w:val="0"/>
        <w:spacing w:line="360" w:lineRule="auto"/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  <w:u w:val="singl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  <w:t>项目编号：HXGJXM2026-ZC-JT1002</w:t>
      </w:r>
    </w:p>
    <w:p w14:paraId="48FDE4FE">
      <w:pPr>
        <w:shd w:val="clear"/>
        <w:spacing w:after="120"/>
        <w:ind w:firstLine="100" w:firstLineChars="50"/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 xml:space="preserve">                                      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066FB82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759CB889">
            <w:pPr>
              <w:shd w:val="clear"/>
              <w:spacing w:before="163" w:beforeLines="5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center"/>
          </w:tcPr>
          <w:p w14:paraId="60CC2576">
            <w:pPr>
              <w:shd w:val="clear"/>
              <w:spacing w:before="163" w:beforeLines="5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center"/>
          </w:tcPr>
          <w:p w14:paraId="5AD2AAB7">
            <w:pPr>
              <w:shd w:val="clear"/>
              <w:spacing w:before="163" w:beforeLines="5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  <w:t>招标规格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center"/>
          </w:tcPr>
          <w:p w14:paraId="5677A671">
            <w:pPr>
              <w:shd w:val="clear"/>
              <w:spacing w:before="163" w:beforeLines="5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  <w:t>规格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 w14:paraId="10285503">
            <w:pPr>
              <w:shd w:val="clear"/>
              <w:spacing w:before="163" w:beforeLines="5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  <w:t>偏离说明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center"/>
          </w:tcPr>
          <w:p w14:paraId="51F9A988">
            <w:pPr>
              <w:shd w:val="clear"/>
              <w:spacing w:before="163" w:beforeLines="5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5757A64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6F13E5BD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5603DFF7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18F96D8C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7D383D2F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6E9413BC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1F2D6945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330388B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67DD42C5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763EF089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4B140E52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6B00A0AA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66EDCD2F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4299E87C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05AAD9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7B7800F9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0ECE678B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41058CAC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1523411D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79DB5676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537AC80F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13B0DF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3AC03160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0281B8EE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1185D3EF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3FEF785A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C484B09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4193C5A9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</w:tr>
      <w:tr w14:paraId="5F0E87A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noWrap w:val="0"/>
            <w:vAlign w:val="top"/>
          </w:tcPr>
          <w:p w14:paraId="3C552AA4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noWrap w:val="0"/>
            <w:vAlign w:val="top"/>
          </w:tcPr>
          <w:p w14:paraId="34E7890F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noWrap w:val="0"/>
            <w:vAlign w:val="top"/>
          </w:tcPr>
          <w:p w14:paraId="3F2E1E02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1940933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50E3325D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  <w:noWrap w:val="0"/>
            <w:vAlign w:val="top"/>
          </w:tcPr>
          <w:p w14:paraId="5C68EC25">
            <w:pPr>
              <w:shd w:val="clear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38A3EF8">
      <w:pPr>
        <w:shd w:val="clear"/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</w:pPr>
    </w:p>
    <w:p w14:paraId="34020DC3">
      <w:pPr>
        <w:shd w:val="clear"/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</w:pPr>
    </w:p>
    <w:p w14:paraId="7F2D6E22">
      <w:pPr>
        <w:spacing w:line="560" w:lineRule="exact"/>
        <w:ind w:firstLine="400" w:firstLineChars="200"/>
        <w:jc w:val="both"/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lang w:val="en-US" w:eastAsia="zh-CN"/>
        </w:rPr>
        <w:t>供应商名称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：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（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lang w:val="en-US" w:eastAsia="zh-CN"/>
        </w:rPr>
        <w:t>加盖单位公章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）</w:t>
      </w:r>
    </w:p>
    <w:p w14:paraId="125FDEB1">
      <w:pPr>
        <w:spacing w:line="560" w:lineRule="exact"/>
        <w:ind w:firstLine="400" w:firstLineChars="200"/>
        <w:jc w:val="both"/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法定代表人或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：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（签字或盖章）</w:t>
      </w:r>
    </w:p>
    <w:p w14:paraId="013446EF">
      <w:pPr>
        <w:spacing w:line="560" w:lineRule="exact"/>
        <w:ind w:firstLine="400" w:firstLineChars="200"/>
        <w:jc w:val="both"/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日    期：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日</w:t>
      </w:r>
    </w:p>
    <w:p w14:paraId="066AE35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0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</w:pPr>
    </w:p>
    <w:p w14:paraId="6D8B9B4D">
      <w:pPr>
        <w:shd w:val="clear"/>
        <w:adjustRightInd w:val="0"/>
        <w:snapToGrid w:val="0"/>
        <w:spacing w:line="440" w:lineRule="exact"/>
        <w:ind w:left="120" w:leftChars="57" w:firstLine="1205" w:firstLineChars="600"/>
        <w:rPr>
          <w:rFonts w:hint="eastAsia" w:ascii="方正仿宋_GB2312" w:hAnsi="方正仿宋_GB2312" w:eastAsia="方正仿宋_GB2312" w:cs="方正仿宋_GB2312"/>
          <w:b/>
          <w:bCs/>
          <w:color w:val="auto"/>
          <w:sz w:val="20"/>
          <w:szCs w:val="20"/>
          <w:highlight w:val="none"/>
        </w:rPr>
      </w:pPr>
    </w:p>
    <w:p w14:paraId="34E23CAC">
      <w:pPr>
        <w:pStyle w:val="4"/>
        <w:shd w:val="clear"/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注:  1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招标规格：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指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谈判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文件中的技术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指标参数，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应按照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谈判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文件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第三章技术要求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中的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技术指标参数对应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内容逐项响应。</w:t>
      </w:r>
    </w:p>
    <w:p w14:paraId="56334D7B">
      <w:pPr>
        <w:pStyle w:val="4"/>
        <w:numPr>
          <w:ilvl w:val="0"/>
          <w:numId w:val="0"/>
        </w:numPr>
        <w:shd w:val="clear"/>
        <w:ind w:left="600" w:leftChars="0" w:firstLine="0" w:firstLineChars="0"/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lang w:val="en-US" w:eastAsia="zh-CN" w:bidi="ar-SA"/>
        </w:rPr>
        <w:t>2、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响应规格：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指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拟提供的投标产品的技术规格参数,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应逐条如实填写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要求提供证明材料的按要求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提供相应的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证明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文件。</w:t>
      </w:r>
    </w:p>
    <w:p w14:paraId="7CC8DC36"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  <w:lang w:val="en-US" w:eastAsia="zh-CN"/>
        </w:rPr>
        <w:t>3、</w:t>
      </w:r>
      <w:r>
        <w:rPr>
          <w:rFonts w:hint="eastAsia" w:ascii="方正仿宋_GB2312" w:hAnsi="方正仿宋_GB2312" w:eastAsia="方正仿宋_GB2312" w:cs="方正仿宋_GB2312"/>
          <w:color w:val="auto"/>
          <w:sz w:val="20"/>
          <w:szCs w:val="20"/>
          <w:highlight w:val="none"/>
        </w:rPr>
        <w:t>偏离说明填写：优于、满足或低于。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2026-01-27T09:12:46Z</dcterms:created>
  <dc:creator>Administrator</dc:creator>
  <cp:lastModifiedBy>华夏国际-招标部</cp:lastModifiedBy>
  <dcterms:modified xsi:type="dcterms:W3CDTF">2026-01-27T09:13:03Z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8DF077D121D24048BFDB6A25D66060FE_12</vt:lpwstr>
  </property>
</Properties>
</file>