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版本号：KWX-2025-CS1128.1B220260108001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2023年第二批农村厕所革命整村推进中央财政奖补资金项目(三次)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KWX-2025-CS1128.1B2</w:t>
      </w:r>
      <w:r>
        <w:br/>
      </w:r>
      <w:r>
        <w:br/>
      </w:r>
      <w:r>
        <w:br/>
      </w:r>
    </w:p>
    <w:p>
      <w:pPr>
        <w:pStyle w:val="null3"/>
        <w:jc w:val="center"/>
        <w:outlineLvl w:val="2"/>
      </w:pPr>
      <w:r>
        <w:rPr>
          <w:rFonts w:ascii="仿宋_GB2312" w:hAnsi="仿宋_GB2312" w:cs="仿宋_GB2312" w:eastAsia="仿宋_GB2312"/>
          <w:sz w:val="28"/>
          <w:b/>
        </w:rPr>
        <w:t>西安市灞桥区农业农村局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西安市灞桥区农业农村局</w:t>
      </w:r>
      <w:r>
        <w:rPr>
          <w:rFonts w:ascii="仿宋_GB2312" w:hAnsi="仿宋_GB2312" w:cs="仿宋_GB2312" w:eastAsia="仿宋_GB2312"/>
        </w:rPr>
        <w:t>委托，拟对</w:t>
      </w:r>
      <w:r>
        <w:rPr>
          <w:rFonts w:ascii="仿宋_GB2312" w:hAnsi="仿宋_GB2312" w:cs="仿宋_GB2312" w:eastAsia="仿宋_GB2312"/>
        </w:rPr>
        <w:t>2023年第二批农村厕所革命整村推进中央财政奖补资金项目(三次)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KWX-2025-CS1128.1B2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2023年第二批农村厕所革命整村推进中央财政奖补资金项目(三次)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认真贯彻落实省农业农村厅《关于2023年灞桥区第二批农村厕所革命整村推进中央财政奖补资金实施计划的通知》（陕农计财〔2023〕81号）的要求及西安市农业农村局转发《西安市农业农村局关于下达2023年第二批农村厕所革命整村推进中央财政奖补资金实施计划的通知》（市农发〔2023〕118号）的安排部署，本项目主要针对现已完成农村厕所整村改造建设的化粪池存在沤肥时间过长等问题开展的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采购包1（2023年第二批农村厕所革命整村推进中央财政奖补资金项目）：属于专门面向小微企业采购。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1、营业执照：具有独立承担民事责任能力的法人、其他组织或自然人，提供合法有效的统一社会信用代码的营业执照(含年度报告)或事业单位法人证书等国家规定的相关证明，自然人参与的提供其身份证明;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法定代表人直接参加，须出具法定代表人身份证明文件、法定代表人身份证复印件;非法定代表人参加，须出具法定代表人授权委托书、法定代表人身份证复印件及被授权人身份证复印件;</w:t>
      </w:r>
    </w:p>
    <w:p>
      <w:pPr>
        <w:pStyle w:val="null3"/>
      </w:pPr>
      <w:r>
        <w:rPr>
          <w:rFonts w:ascii="仿宋_GB2312" w:hAnsi="仿宋_GB2312" w:cs="仿宋_GB2312" w:eastAsia="仿宋_GB2312"/>
        </w:rPr>
        <w:t>3、财务状况报告：供应商须提供2024年度的财务审计报告(成立时间至提交响应文件截止时间不足一年的可提供成立后任意时段的资产负债表)或提交响应文件截止时间前三个月内其基本存款账户开户银行出具的资信证明及基本存款账户开户信息；</w:t>
      </w:r>
    </w:p>
    <w:p>
      <w:pPr>
        <w:pStyle w:val="null3"/>
      </w:pPr>
      <w:r>
        <w:rPr>
          <w:rFonts w:ascii="仿宋_GB2312" w:hAnsi="仿宋_GB2312" w:cs="仿宋_GB2312" w:eastAsia="仿宋_GB2312"/>
        </w:rPr>
        <w:t>4、税收缴纳证明：提供已缴纳的2024年11月份至2025年月11月份任意一个月份的缴税凭证;依法免税的供应商应提供相关文件证明;</w:t>
      </w:r>
    </w:p>
    <w:p>
      <w:pPr>
        <w:pStyle w:val="null3"/>
      </w:pPr>
      <w:r>
        <w:rPr>
          <w:rFonts w:ascii="仿宋_GB2312" w:hAnsi="仿宋_GB2312" w:cs="仿宋_GB2312" w:eastAsia="仿宋_GB2312"/>
        </w:rPr>
        <w:t>5、社会保障资金缴纳证明：供应商须提供提供2024年度11月至2025年度11月份任意一个月份的社会保障资金缴存证明或社保机构开具的社会保险参保缴费情况证明;依法不需要缴纳社会保障资金的应提供相关文件证明;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6、前三年无重大违纪声明：供应商应出具参加本次采购活动前三年内在经营活动中没有重大违法记录的书面声明；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8、书面承诺：供应商须提供具备履行合同所必需的设备及专业技术能力的承诺；</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西安市灞桥区农业农村局（本级）经办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83519507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李幸子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029-83526611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联系人：李幸子</w:t>
      </w:r>
    </w:p>
    <w:p>
      <w:pPr>
        <w:pStyle w:val="null3"/>
      </w:pPr>
      <w:r>
        <w:rPr>
          <w:rFonts w:ascii="仿宋_GB2312" w:hAnsi="仿宋_GB2312" w:cs="仿宋_GB2312" w:eastAsia="仿宋_GB2312"/>
        </w:rPr>
        <w:t>联系电话：029-83526611</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认真贯彻落实省农业农村厅《关于2023年灞桥区第二批农村厕所革命整村推进中央财政奖补资金实施计划的通知》（陕农计财〔2023〕81号）的要求及西安市农业农村局转发《西安市农业农村局关于下达2023年第二批农村厕所革命整村推进中央财政奖补资金实施计划的通知》（市农发〔2023〕118号）的安排部署，本项目主要针对现已完成农村厕所整村改造建设的化粪池存在沤肥时间过长等问题开展的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32"/>
              </w:rPr>
              <w:t>为了认真贯彻落实省农业农村厅《关于</w:t>
            </w:r>
            <w:r>
              <w:rPr>
                <w:rFonts w:ascii="仿宋_GB2312" w:hAnsi="仿宋_GB2312" w:cs="仿宋_GB2312" w:eastAsia="仿宋_GB2312"/>
                <w:sz w:val="32"/>
              </w:rPr>
              <w:t>2023年灞桥区第二批农村厕所革命整村推进中央财政奖补资金实施计划的通知》（陕农计财〔2023〕81号）的要求及西安市农业农村局转发《西安市农业农村局关于下达2023年第二批农村厕所革命整村推进中央财政奖补资金实施计划的通知》（市农发〔2023〕118号）的安排部署，本项目主要针对现已完成农村厕所整村改造建设的化粪池存在</w:t>
            </w:r>
            <w:r>
              <w:rPr>
                <w:rFonts w:ascii="仿宋_GB2312" w:hAnsi="仿宋_GB2312" w:cs="仿宋_GB2312" w:eastAsia="仿宋_GB2312"/>
                <w:sz w:val="32"/>
              </w:rPr>
              <w:t>臭味和</w:t>
            </w:r>
            <w:r>
              <w:rPr>
                <w:rFonts w:ascii="仿宋_GB2312" w:hAnsi="仿宋_GB2312" w:cs="仿宋_GB2312" w:eastAsia="仿宋_GB2312"/>
                <w:sz w:val="32"/>
              </w:rPr>
              <w:t>沤肥时间过长等问题开展的相关工作。</w:t>
            </w:r>
          </w:p>
          <w:p>
            <w:pPr>
              <w:pStyle w:val="null3"/>
              <w:ind w:firstLine="640"/>
              <w:jc w:val="both"/>
            </w:pPr>
            <w:r>
              <w:rPr>
                <w:rFonts w:ascii="仿宋_GB2312" w:hAnsi="仿宋_GB2312" w:cs="仿宋_GB2312" w:eastAsia="仿宋_GB2312"/>
                <w:sz w:val="32"/>
              </w:rPr>
              <w:t>一、</w:t>
            </w:r>
            <w:r>
              <w:rPr>
                <w:rFonts w:ascii="仿宋_GB2312" w:hAnsi="仿宋_GB2312" w:cs="仿宋_GB2312" w:eastAsia="仿宋_GB2312"/>
                <w:sz w:val="32"/>
              </w:rPr>
              <w:t>目标任务</w:t>
            </w:r>
          </w:p>
          <w:p>
            <w:pPr>
              <w:pStyle w:val="null3"/>
              <w:ind w:firstLine="640"/>
              <w:jc w:val="both"/>
            </w:pPr>
            <w:r>
              <w:rPr>
                <w:rFonts w:ascii="仿宋_GB2312" w:hAnsi="仿宋_GB2312" w:cs="仿宋_GB2312" w:eastAsia="仿宋_GB2312"/>
                <w:sz w:val="32"/>
              </w:rPr>
              <w:t>本项目旨在针对西安市灞桥区农村厕所粪污处理中存在的臭气扰民、清掏频繁、资源</w:t>
            </w:r>
            <w:r>
              <w:rPr>
                <w:rFonts w:ascii="仿宋_GB2312" w:hAnsi="仿宋_GB2312" w:cs="仿宋_GB2312" w:eastAsia="仿宋_GB2312"/>
                <w:sz w:val="32"/>
              </w:rPr>
              <w:t>利用率低</w:t>
            </w:r>
            <w:r>
              <w:rPr>
                <w:rFonts w:ascii="仿宋_GB2312" w:hAnsi="仿宋_GB2312" w:cs="仿宋_GB2312" w:eastAsia="仿宋_GB2312"/>
                <w:sz w:val="32"/>
              </w:rPr>
              <w:t>等核心问题，构建一套以复合微生物强化技术为核心，农户端原位减量除臭的闭环式解决方案。方案的核心目标是：</w:t>
            </w:r>
            <w:r>
              <w:rPr>
                <w:rFonts w:ascii="仿宋_GB2312" w:hAnsi="仿宋_GB2312" w:cs="仿宋_GB2312" w:eastAsia="仿宋_GB2312"/>
                <w:sz w:val="32"/>
              </w:rPr>
              <w:t>对</w:t>
            </w:r>
            <w:r>
              <w:rPr>
                <w:rFonts w:ascii="仿宋_GB2312" w:hAnsi="仿宋_GB2312" w:cs="仿宋_GB2312" w:eastAsia="仿宋_GB2312"/>
                <w:sz w:val="32"/>
              </w:rPr>
              <w:t>农村厕所提升改造的</w:t>
            </w:r>
            <w:r>
              <w:rPr>
                <w:rFonts w:ascii="仿宋_GB2312" w:hAnsi="仿宋_GB2312" w:cs="仿宋_GB2312" w:eastAsia="仿宋_GB2312"/>
                <w:sz w:val="32"/>
              </w:rPr>
              <w:t>500座户厕的容积约1.8m</w:t>
            </w:r>
            <w:r>
              <w:rPr>
                <w:rFonts w:ascii="仿宋_GB2312" w:hAnsi="仿宋_GB2312" w:cs="仿宋_GB2312" w:eastAsia="仿宋_GB2312"/>
                <w:sz w:val="32"/>
                <w:vertAlign w:val="superscript"/>
              </w:rPr>
              <w:t>3</w:t>
            </w:r>
            <w:r>
              <w:rPr>
                <w:rFonts w:ascii="仿宋_GB2312" w:hAnsi="仿宋_GB2312" w:cs="仿宋_GB2312" w:eastAsia="仿宋_GB2312"/>
                <w:sz w:val="32"/>
              </w:rPr>
              <w:t>的农户三格化粪池通过投加</w:t>
            </w:r>
            <w:r>
              <w:rPr>
                <w:rFonts w:ascii="仿宋_GB2312" w:hAnsi="仿宋_GB2312" w:cs="仿宋_GB2312" w:eastAsia="仿宋_GB2312"/>
                <w:sz w:val="32"/>
              </w:rPr>
              <w:t>经科学配伍的</w:t>
            </w:r>
            <w:r>
              <w:rPr>
                <w:rFonts w:ascii="仿宋_GB2312" w:hAnsi="仿宋_GB2312" w:cs="仿宋_GB2312" w:eastAsia="仿宋_GB2312"/>
                <w:sz w:val="32"/>
              </w:rPr>
              <w:t>功能性复合微生物菌剂，在源头削减粪污体积、消除恶臭</w:t>
            </w:r>
            <w:r>
              <w:rPr>
                <w:rFonts w:ascii="仿宋_GB2312" w:hAnsi="仿宋_GB2312" w:cs="仿宋_GB2312" w:eastAsia="仿宋_GB2312"/>
                <w:sz w:val="32"/>
              </w:rPr>
              <w:t>，</w:t>
            </w:r>
            <w:r>
              <w:rPr>
                <w:rFonts w:ascii="仿宋_GB2312" w:hAnsi="仿宋_GB2312" w:cs="仿宋_GB2312" w:eastAsia="仿宋_GB2312"/>
                <w:sz w:val="32"/>
              </w:rPr>
              <w:t>解决秋冬季沤肥时间过长，夏天臭气过多等问题最终实现人居环境改善。</w:t>
            </w:r>
          </w:p>
          <w:p>
            <w:pPr>
              <w:pStyle w:val="null3"/>
              <w:ind w:firstLine="640"/>
              <w:jc w:val="both"/>
            </w:pPr>
            <w:r>
              <w:rPr>
                <w:rFonts w:ascii="仿宋_GB2312" w:hAnsi="仿宋_GB2312" w:cs="仿宋_GB2312" w:eastAsia="仿宋_GB2312"/>
                <w:sz w:val="32"/>
              </w:rPr>
              <w:t>二、技术路线</w:t>
            </w:r>
          </w:p>
          <w:p>
            <w:pPr>
              <w:pStyle w:val="null3"/>
              <w:ind w:firstLine="640"/>
              <w:jc w:val="both"/>
            </w:pPr>
            <w:r>
              <w:rPr>
                <w:rFonts w:ascii="仿宋_GB2312" w:hAnsi="仿宋_GB2312" w:cs="仿宋_GB2312" w:eastAsia="仿宋_GB2312"/>
                <w:sz w:val="32"/>
              </w:rPr>
              <w:t>采用</w:t>
            </w:r>
            <w:r>
              <w:rPr>
                <w:rFonts w:ascii="仿宋_GB2312" w:hAnsi="仿宋_GB2312" w:cs="仿宋_GB2312" w:eastAsia="仿宋_GB2312"/>
                <w:sz w:val="32"/>
              </w:rPr>
              <w:t>“预处理+复合微生物原位生物强化”的集成技术路线。其科学原理在于通过外源投加经科学配伍的复合菌剂，定向调控和强化化粪池的微生物群落结构，从而加速有机物的降解、抑制恶臭物质的生成与释放，并促进腐殖质形成。</w:t>
            </w:r>
            <w:r>
              <w:rPr>
                <w:rFonts w:ascii="仿宋_GB2312" w:hAnsi="仿宋_GB2312" w:cs="仿宋_GB2312" w:eastAsia="仿宋_GB2312"/>
                <w:sz w:val="32"/>
              </w:rPr>
              <w:t>本次采购主要实现以下功能：</w:t>
            </w:r>
          </w:p>
          <w:p>
            <w:pPr>
              <w:pStyle w:val="null3"/>
              <w:ind w:firstLine="640"/>
              <w:jc w:val="both"/>
            </w:pPr>
            <w:r>
              <w:rPr>
                <w:rFonts w:ascii="仿宋_GB2312" w:hAnsi="仿宋_GB2312" w:cs="仿宋_GB2312" w:eastAsia="仿宋_GB2312"/>
                <w:sz w:val="32"/>
              </w:rPr>
              <w:t>除臭：投加含有脱氮、除硫及产酸等功能的特定菌剂。这些菌株能快速将导致恶臭的氨气（</w:t>
            </w:r>
            <w:r>
              <w:rPr>
                <w:rFonts w:ascii="仿宋_GB2312" w:hAnsi="仿宋_GB2312" w:cs="仿宋_GB2312" w:eastAsia="仿宋_GB2312"/>
                <w:sz w:val="32"/>
              </w:rPr>
              <w:t>NH</w:t>
            </w:r>
            <w:r>
              <w:rPr>
                <w:rFonts w:ascii="仿宋_GB2312" w:hAnsi="仿宋_GB2312" w:cs="仿宋_GB2312" w:eastAsia="仿宋_GB2312"/>
                <w:sz w:val="32"/>
                <w:vertAlign w:val="subscript"/>
              </w:rPr>
              <w:t>3</w:t>
            </w:r>
            <w:r>
              <w:rPr>
                <w:rFonts w:ascii="仿宋_GB2312" w:hAnsi="仿宋_GB2312" w:cs="仿宋_GB2312" w:eastAsia="仿宋_GB2312"/>
                <w:sz w:val="32"/>
              </w:rPr>
              <w:t>）、硫化氢（</w:t>
            </w:r>
            <w:r>
              <w:rPr>
                <w:rFonts w:ascii="仿宋_GB2312" w:hAnsi="仿宋_GB2312" w:cs="仿宋_GB2312" w:eastAsia="仿宋_GB2312"/>
                <w:sz w:val="32"/>
              </w:rPr>
              <w:t>H</w:t>
            </w:r>
            <w:r>
              <w:rPr>
                <w:rFonts w:ascii="仿宋_GB2312" w:hAnsi="仿宋_GB2312" w:cs="仿宋_GB2312" w:eastAsia="仿宋_GB2312"/>
                <w:sz w:val="32"/>
                <w:vertAlign w:val="subscript"/>
              </w:rPr>
              <w:t>2</w:t>
            </w:r>
            <w:r>
              <w:rPr>
                <w:rFonts w:ascii="仿宋_GB2312" w:hAnsi="仿宋_GB2312" w:cs="仿宋_GB2312" w:eastAsia="仿宋_GB2312"/>
                <w:sz w:val="32"/>
              </w:rPr>
              <w:t>S）等前体物质（铵根、硫离子）转化为硝酸盐、硫酸盐或无臭物质。同时，降低粪污中产生臭气的微生物的丰度。</w:t>
            </w:r>
          </w:p>
          <w:p>
            <w:pPr>
              <w:pStyle w:val="null3"/>
              <w:ind w:firstLine="640"/>
              <w:jc w:val="both"/>
            </w:pPr>
            <w:r>
              <w:rPr>
                <w:rFonts w:ascii="仿宋_GB2312" w:hAnsi="仿宋_GB2312" w:cs="仿宋_GB2312" w:eastAsia="仿宋_GB2312"/>
                <w:sz w:val="32"/>
              </w:rPr>
              <w:t>减量：通过菌剂中的纤维素降解菌、蛋白质降解菌和脂肪降解菌等菌株的协同作用，高效分解粪污中的固体有机物。通过好氧与兼性厌氧代谢，将大分子有机物转化为二氧化碳、水及稳定的腐殖质，实现</w:t>
            </w:r>
            <w:r>
              <w:rPr>
                <w:rFonts w:ascii="仿宋_GB2312" w:hAnsi="仿宋_GB2312" w:cs="仿宋_GB2312" w:eastAsia="仿宋_GB2312"/>
                <w:sz w:val="32"/>
              </w:rPr>
              <w:t>粪渣</w:t>
            </w:r>
            <w:r>
              <w:rPr>
                <w:rFonts w:ascii="仿宋_GB2312" w:hAnsi="仿宋_GB2312" w:cs="仿宋_GB2312" w:eastAsia="仿宋_GB2312"/>
                <w:sz w:val="32"/>
              </w:rPr>
              <w:t>的原位减容。</w:t>
            </w:r>
          </w:p>
          <w:p>
            <w:pPr>
              <w:pStyle w:val="null3"/>
              <w:ind w:firstLine="640"/>
              <w:jc w:val="both"/>
            </w:pPr>
            <w:r>
              <w:rPr>
                <w:rFonts w:ascii="仿宋_GB2312" w:hAnsi="仿宋_GB2312" w:cs="仿宋_GB2312" w:eastAsia="仿宋_GB2312"/>
                <w:sz w:val="32"/>
              </w:rPr>
              <w:t>三、实施方案</w:t>
            </w:r>
          </w:p>
          <w:p>
            <w:pPr>
              <w:pStyle w:val="null3"/>
              <w:ind w:firstLine="643"/>
              <w:jc w:val="both"/>
            </w:pPr>
            <w:r>
              <w:rPr>
                <w:rFonts w:ascii="仿宋_GB2312" w:hAnsi="仿宋_GB2312" w:cs="仿宋_GB2312" w:eastAsia="仿宋_GB2312"/>
                <w:sz w:val="32"/>
                <w:b/>
              </w:rPr>
              <w:t>1.微生物菌剂的选型与调配</w:t>
            </w:r>
          </w:p>
          <w:p>
            <w:pPr>
              <w:pStyle w:val="null3"/>
              <w:ind w:firstLine="640"/>
              <w:jc w:val="both"/>
            </w:pPr>
            <w:r>
              <w:rPr>
                <w:rFonts w:ascii="仿宋_GB2312" w:hAnsi="仿宋_GB2312" w:cs="仿宋_GB2312" w:eastAsia="仿宋_GB2312"/>
                <w:sz w:val="32"/>
              </w:rPr>
              <w:t>采用</w:t>
            </w:r>
            <w:r>
              <w:rPr>
                <w:rFonts w:ascii="仿宋_GB2312" w:hAnsi="仿宋_GB2312" w:cs="仿宋_GB2312" w:eastAsia="仿宋_GB2312"/>
                <w:sz w:val="32"/>
              </w:rPr>
              <w:t>“通用基础菌剂+特定功能菌株复配”的策略进行优化升级。</w:t>
            </w:r>
          </w:p>
          <w:tbl>
            <w:tblPr>
              <w:tblInd w:type="dxa" w:w="105"/>
              <w:tblBorders>
                <w:top w:val="none" w:color="000000" w:sz="4"/>
                <w:left w:val="none" w:color="000000" w:sz="4"/>
                <w:bottom w:val="none" w:color="000000" w:sz="4"/>
                <w:right w:val="none" w:color="000000" w:sz="4"/>
                <w:insideH w:val="none"/>
                <w:insideV w:val="none"/>
              </w:tblBorders>
            </w:tblPr>
            <w:tblGrid>
              <w:gridCol w:w="375"/>
              <w:gridCol w:w="479"/>
              <w:gridCol w:w="402"/>
              <w:gridCol w:w="610"/>
              <w:gridCol w:w="687"/>
            </w:tblGrid>
            <w:tr>
              <w:tc>
                <w:tcPr>
                  <w:tcW w:type="dxa" w:w="375"/>
                  <w:tcBorders>
                    <w:top w:val="singl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both"/>
                  </w:pPr>
                  <w:r>
                    <w:rPr>
                      <w:rFonts w:ascii="仿宋_GB2312" w:hAnsi="仿宋_GB2312" w:cs="仿宋_GB2312" w:eastAsia="仿宋_GB2312"/>
                      <w:sz w:val="21"/>
                      <w:b/>
                    </w:rPr>
                    <w:t>菌剂类型</w:t>
                  </w:r>
                </w:p>
              </w:tc>
              <w:tc>
                <w:tcPr>
                  <w:tcW w:type="dxa" w:w="479"/>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both"/>
                  </w:pPr>
                  <w:r>
                    <w:rPr>
                      <w:rFonts w:ascii="仿宋_GB2312" w:hAnsi="仿宋_GB2312" w:cs="仿宋_GB2312" w:eastAsia="仿宋_GB2312"/>
                      <w:sz w:val="21"/>
                      <w:b/>
                    </w:rPr>
                    <w:t>核心功能菌</w:t>
                  </w:r>
                </w:p>
              </w:tc>
              <w:tc>
                <w:tcPr>
                  <w:tcW w:type="dxa" w:w="40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both"/>
                  </w:pPr>
                  <w:r>
                    <w:rPr>
                      <w:rFonts w:ascii="仿宋_GB2312" w:hAnsi="仿宋_GB2312" w:cs="仿宋_GB2312" w:eastAsia="仿宋_GB2312"/>
                      <w:sz w:val="21"/>
                      <w:b/>
                    </w:rPr>
                    <w:t>主要功能</w:t>
                  </w:r>
                </w:p>
              </w:tc>
              <w:tc>
                <w:tcPr>
                  <w:tcW w:type="dxa" w:w="610"/>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both"/>
                  </w:pPr>
                  <w:r>
                    <w:rPr>
                      <w:rFonts w:ascii="仿宋_GB2312" w:hAnsi="仿宋_GB2312" w:cs="仿宋_GB2312" w:eastAsia="仿宋_GB2312"/>
                      <w:sz w:val="21"/>
                      <w:b/>
                    </w:rPr>
                    <w:t>适用场景与形态</w:t>
                  </w:r>
                </w:p>
              </w:tc>
              <w:tc>
                <w:tcPr>
                  <w:tcW w:type="dxa" w:w="687"/>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ind w:firstLine="422"/>
                    <w:jc w:val="both"/>
                  </w:pPr>
                  <w:r>
                    <w:rPr>
                      <w:rFonts w:ascii="仿宋_GB2312" w:hAnsi="仿宋_GB2312" w:cs="仿宋_GB2312" w:eastAsia="仿宋_GB2312"/>
                      <w:sz w:val="21"/>
                      <w:b/>
                    </w:rPr>
                    <w:t>预期目标</w:t>
                  </w:r>
                </w:p>
              </w:tc>
            </w:tr>
            <w:tr>
              <w:tc>
                <w:tcPr>
                  <w:tcW w:type="dxa" w:w="375"/>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ind w:firstLine="422"/>
                    <w:jc w:val="center"/>
                  </w:pPr>
                  <w:r>
                    <w:rPr>
                      <w:rFonts w:ascii="仿宋_GB2312" w:hAnsi="仿宋_GB2312" w:cs="仿宋_GB2312" w:eastAsia="仿宋_GB2312"/>
                      <w:sz w:val="21"/>
                      <w:b/>
                    </w:rPr>
                    <w:t>农户端除臭减量菌剂</w:t>
                  </w:r>
                </w:p>
              </w:tc>
              <w:tc>
                <w:tcPr>
                  <w:tcW w:type="dxa" w:w="479"/>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ind w:firstLine="420"/>
                    <w:jc w:val="center"/>
                  </w:pPr>
                  <w:r>
                    <w:rPr>
                      <w:rFonts w:ascii="仿宋_GB2312" w:hAnsi="仿宋_GB2312" w:cs="仿宋_GB2312" w:eastAsia="仿宋_GB2312"/>
                      <w:sz w:val="21"/>
                    </w:rPr>
                    <w:t>脱氮、除硫菌群</w:t>
                  </w:r>
                </w:p>
              </w:tc>
              <w:tc>
                <w:tcPr>
                  <w:tcW w:type="dxa" w:w="40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ind w:firstLine="420"/>
                    <w:jc w:val="left"/>
                  </w:pPr>
                  <w:r>
                    <w:rPr>
                      <w:rFonts w:ascii="仿宋_GB2312" w:hAnsi="仿宋_GB2312" w:cs="仿宋_GB2312" w:eastAsia="仿宋_GB2312"/>
                      <w:sz w:val="21"/>
                    </w:rPr>
                    <w:t>快速去除</w:t>
                  </w:r>
                  <w:r>
                    <w:rPr>
                      <w:rFonts w:ascii="仿宋_GB2312" w:hAnsi="仿宋_GB2312" w:cs="仿宋_GB2312" w:eastAsia="仿宋_GB2312"/>
                      <w:sz w:val="21"/>
                    </w:rPr>
                    <w:t>NH</w:t>
                  </w:r>
                  <w:r>
                    <w:rPr>
                      <w:rFonts w:ascii="仿宋_GB2312" w:hAnsi="仿宋_GB2312" w:cs="仿宋_GB2312" w:eastAsia="仿宋_GB2312"/>
                      <w:sz w:val="21"/>
                      <w:vertAlign w:val="subscript"/>
                    </w:rPr>
                    <w:t>3</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S；降解固体有机物。</w:t>
                  </w:r>
                </w:p>
              </w:tc>
              <w:tc>
                <w:tcPr>
                  <w:tcW w:type="dxa" w:w="610"/>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ind w:firstLine="420"/>
                    <w:jc w:val="left"/>
                  </w:pPr>
                  <w:r>
                    <w:rPr>
                      <w:rFonts w:ascii="仿宋_GB2312" w:hAnsi="仿宋_GB2312" w:cs="仿宋_GB2312" w:eastAsia="仿宋_GB2312"/>
                      <w:sz w:val="21"/>
                    </w:rPr>
                    <w:t>化粪池第三格投加。</w:t>
                  </w:r>
                  <w:r>
                    <w:rPr>
                      <w:rFonts w:ascii="仿宋_GB2312" w:hAnsi="仿宋_GB2312" w:cs="仿宋_GB2312" w:eastAsia="仿宋_GB2312"/>
                      <w:sz w:val="21"/>
                      <w:b/>
                    </w:rPr>
                    <w:t>液态剂</w:t>
                  </w:r>
                  <w:r>
                    <w:rPr>
                      <w:rFonts w:ascii="仿宋_GB2312" w:hAnsi="仿宋_GB2312" w:cs="仿宋_GB2312" w:eastAsia="仿宋_GB2312"/>
                      <w:sz w:val="21"/>
                    </w:rPr>
                    <w:t>（用于快速除臭）与</w:t>
                  </w:r>
                  <w:r>
                    <w:rPr>
                      <w:rFonts w:ascii="仿宋_GB2312" w:hAnsi="仿宋_GB2312" w:cs="仿宋_GB2312" w:eastAsia="仿宋_GB2312"/>
                      <w:sz w:val="21"/>
                      <w:b/>
                    </w:rPr>
                    <w:t>固态载体剂</w:t>
                  </w:r>
                  <w:r>
                    <w:rPr>
                      <w:rFonts w:ascii="仿宋_GB2312" w:hAnsi="仿宋_GB2312" w:cs="仿宋_GB2312" w:eastAsia="仿宋_GB2312"/>
                      <w:sz w:val="21"/>
                    </w:rPr>
                    <w:t>（用于长效缓释减量）结合使用。</w:t>
                  </w:r>
                </w:p>
              </w:tc>
              <w:tc>
                <w:tcPr>
                  <w:tcW w:type="dxa" w:w="687"/>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pPr>
                    <w:pStyle w:val="null3"/>
                    <w:ind w:firstLine="420"/>
                    <w:jc w:val="left"/>
                  </w:pPr>
                  <w:r>
                    <w:rPr>
                      <w:rFonts w:ascii="仿宋_GB2312" w:hAnsi="仿宋_GB2312" w:cs="仿宋_GB2312" w:eastAsia="仿宋_GB2312"/>
                      <w:sz w:val="21"/>
                    </w:rPr>
                    <w:t>10日内浮渣基本沉降，臭气感官消除率约70%，粪渣体积减少40%，延长清掏周期。</w:t>
                  </w:r>
                </w:p>
              </w:tc>
            </w:tr>
          </w:tbl>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b/>
              </w:rPr>
              <w:t>农户化粪池原位处理操作流程</w:t>
            </w:r>
          </w:p>
          <w:p>
            <w:pPr>
              <w:pStyle w:val="null3"/>
              <w:ind w:firstLine="640"/>
              <w:jc w:val="both"/>
            </w:pPr>
            <w:r>
              <w:rPr>
                <w:rFonts w:ascii="仿宋_GB2312" w:hAnsi="仿宋_GB2312" w:cs="仿宋_GB2312" w:eastAsia="仿宋_GB2312"/>
                <w:sz w:val="32"/>
              </w:rPr>
              <w:t>初期普查与预处理：对</w:t>
            </w:r>
            <w:r>
              <w:rPr>
                <w:rFonts w:ascii="仿宋_GB2312" w:hAnsi="仿宋_GB2312" w:cs="仿宋_GB2312" w:eastAsia="仿宋_GB2312"/>
                <w:sz w:val="32"/>
              </w:rPr>
              <w:t>500个农户化粪池进行摸底，记录粪渣厚度、浮渣情况、pH值。对于pH过低（&lt;6.5）的粪池，可少量泼洒石灰水调节至中性偏碱（7-7.5），以创造更利于微生物代谢的环境。</w:t>
            </w:r>
          </w:p>
          <w:p>
            <w:pPr>
              <w:pStyle w:val="null3"/>
              <w:ind w:firstLine="640"/>
              <w:jc w:val="both"/>
            </w:pPr>
            <w:r>
              <w:rPr>
                <w:rFonts w:ascii="仿宋_GB2312" w:hAnsi="仿宋_GB2312" w:cs="仿宋_GB2312" w:eastAsia="仿宋_GB2312"/>
                <w:sz w:val="32"/>
              </w:rPr>
              <w:t>首次投菌：</w:t>
            </w:r>
          </w:p>
          <w:p>
            <w:pPr>
              <w:pStyle w:val="null3"/>
              <w:ind w:firstLine="640"/>
              <w:jc w:val="both"/>
            </w:pPr>
            <w:r>
              <w:rPr>
                <w:rFonts w:ascii="仿宋_GB2312" w:hAnsi="仿宋_GB2312" w:cs="仿宋_GB2312" w:eastAsia="仿宋_GB2312"/>
                <w:sz w:val="32"/>
              </w:rPr>
              <w:t>液态菌剂：按每立方米粪污</w:t>
            </w:r>
            <w:r>
              <w:rPr>
                <w:rFonts w:ascii="仿宋_GB2312" w:hAnsi="仿宋_GB2312" w:cs="仿宋_GB2312" w:eastAsia="仿宋_GB2312"/>
                <w:sz w:val="32"/>
              </w:rPr>
              <w:t>0.5-1升的比例，将激活后的菌液均匀泼洒入化粪池液面。此操作可快速抑制臭气，</w:t>
            </w:r>
            <w:r>
              <w:rPr>
                <w:rFonts w:ascii="仿宋_GB2312" w:hAnsi="仿宋_GB2312" w:cs="仿宋_GB2312" w:eastAsia="仿宋_GB2312"/>
                <w:sz w:val="32"/>
              </w:rPr>
              <w:t>可</w:t>
            </w:r>
            <w:r>
              <w:rPr>
                <w:rFonts w:ascii="仿宋_GB2312" w:hAnsi="仿宋_GB2312" w:cs="仿宋_GB2312" w:eastAsia="仿宋_GB2312"/>
                <w:sz w:val="32"/>
              </w:rPr>
              <w:t>在清掏后或臭气问题突出时进行。</w:t>
            </w:r>
          </w:p>
          <w:p>
            <w:pPr>
              <w:pStyle w:val="null3"/>
              <w:ind w:firstLine="640"/>
              <w:jc w:val="both"/>
            </w:pPr>
            <w:r>
              <w:rPr>
                <w:rFonts w:ascii="仿宋_GB2312" w:hAnsi="仿宋_GB2312" w:cs="仿宋_GB2312" w:eastAsia="仿宋_GB2312"/>
                <w:sz w:val="32"/>
              </w:rPr>
              <w:t>固态载体菌剂：按每立方米粪污</w:t>
            </w:r>
            <w:r>
              <w:rPr>
                <w:rFonts w:ascii="仿宋_GB2312" w:hAnsi="仿宋_GB2312" w:cs="仿宋_GB2312" w:eastAsia="仿宋_GB2312"/>
                <w:sz w:val="32"/>
              </w:rPr>
              <w:t>100-200克的剂量，将菌剂与少量粪水混合成糊状后投入池中。固态载体（如麸皮、米糠</w:t>
            </w:r>
            <w:r>
              <w:rPr>
                <w:rFonts w:ascii="仿宋_GB2312" w:hAnsi="仿宋_GB2312" w:cs="仿宋_GB2312" w:eastAsia="仿宋_GB2312"/>
                <w:sz w:val="32"/>
              </w:rPr>
              <w:t>、秸秆等</w:t>
            </w:r>
            <w:r>
              <w:rPr>
                <w:rFonts w:ascii="仿宋_GB2312" w:hAnsi="仿宋_GB2312" w:cs="仿宋_GB2312" w:eastAsia="仿宋_GB2312"/>
                <w:sz w:val="32"/>
              </w:rPr>
              <w:t>）能使微生物缓慢释放，实现长效降解。</w:t>
            </w:r>
          </w:p>
          <w:p>
            <w:pPr>
              <w:pStyle w:val="null3"/>
              <w:ind w:firstLine="640"/>
              <w:jc w:val="both"/>
            </w:pPr>
            <w:r>
              <w:rPr>
                <w:rFonts w:ascii="仿宋_GB2312" w:hAnsi="仿宋_GB2312" w:cs="仿宋_GB2312" w:eastAsia="仿宋_GB2312"/>
                <w:sz w:val="32"/>
              </w:rPr>
              <w:t>日常维护与补投：建立</w:t>
            </w:r>
            <w:r>
              <w:rPr>
                <w:rFonts w:ascii="仿宋_GB2312" w:hAnsi="仿宋_GB2312" w:cs="仿宋_GB2312" w:eastAsia="仿宋_GB2312"/>
                <w:sz w:val="32"/>
              </w:rPr>
              <w:t>“农户自查+专员巡检”制度。为每户配发简易pH试纸和记录卡。建议每2-4周补投一次液态菌剂（剂量减半），以维持菌群优势。巡检专员每月上门检查，使用便携式氨气、硫化氢检测仪评估除臭效果，并根据粪渣减量情况指导补投固态菌剂。</w:t>
            </w:r>
          </w:p>
          <w:p>
            <w:pPr>
              <w:pStyle w:val="null3"/>
              <w:ind w:firstLine="640"/>
            </w:pPr>
            <w:r>
              <w:rPr>
                <w:rFonts w:ascii="仿宋_GB2312" w:hAnsi="仿宋_GB2312" w:cs="仿宋_GB2312" w:eastAsia="仿宋_GB2312"/>
                <w:sz w:val="32"/>
              </w:rPr>
              <w:t>四、质量保障措施</w:t>
            </w:r>
          </w:p>
          <w:p>
            <w:pPr>
              <w:pStyle w:val="null3"/>
              <w:ind w:firstLine="640"/>
            </w:pPr>
            <w:r>
              <w:rPr>
                <w:rFonts w:ascii="仿宋_GB2312" w:hAnsi="仿宋_GB2312" w:cs="仿宋_GB2312" w:eastAsia="仿宋_GB2312"/>
                <w:sz w:val="32"/>
              </w:rPr>
              <w:t>针对冬季低温可能影响微生物活性的技术风险，选用耐低温菌株，建立从菌剂活性检测、投加记录、现场巡检到成品抽检的全过程质量追踪体系。</w:t>
            </w:r>
          </w:p>
          <w:p>
            <w:pPr>
              <w:pStyle w:val="null3"/>
              <w:ind w:firstLine="640"/>
            </w:pPr>
            <w:r>
              <w:rPr>
                <w:rFonts w:ascii="仿宋_GB2312" w:hAnsi="仿宋_GB2312" w:cs="仿宋_GB2312" w:eastAsia="仿宋_GB2312"/>
                <w:sz w:val="32"/>
              </w:rPr>
              <w:t>五、资金计划</w:t>
            </w:r>
          </w:p>
          <w:p>
            <w:pPr>
              <w:pStyle w:val="null3"/>
              <w:ind w:firstLine="640"/>
            </w:pPr>
            <w:r>
              <w:rPr>
                <w:rFonts w:ascii="仿宋_GB2312" w:hAnsi="仿宋_GB2312" w:cs="仿宋_GB2312" w:eastAsia="仿宋_GB2312"/>
                <w:sz w:val="32"/>
              </w:rPr>
              <w:t>利用</w:t>
            </w:r>
            <w:r>
              <w:rPr>
                <w:rFonts w:ascii="仿宋_GB2312" w:hAnsi="仿宋_GB2312" w:cs="仿宋_GB2312" w:eastAsia="仿宋_GB2312"/>
                <w:sz w:val="32"/>
              </w:rPr>
              <w:t>2023年第二批农村厕所革命整村推进中央财政奖补资金，按照每个化粪池补助1100元的标准，共55万元，确保完成全区500座户厕改造的化粪池治理。</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制定实施计划，安排专业人员操作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菌剂、固体吸附料（麸皮、米糠等），便携式氨气、硫化氢检测仪，pH试纸、化学试剂等项目实施需用的设施设备及材料。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 按合同约定完成进度。 （二）成果交付要求： 完成项目规定内容，并提供实施过程资料。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自合同签订之日起至项目结束时止，期限一年。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项目内容执行完毕并通过农业农村局验收后支付剩余60%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参考《中华人民共和国民法典》第八章第五百七十七条至第五百九十四条相关规定。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成交单位领取成交通知书时，提交纸质投标文件正本壹份、副本贰份编辑目录和页码，内容和通过电子化交易平台实施的政府采购项目提交的投标文件一致。纸质投标文件正副本分别胶装。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具有独立承担民事责任能力的法人、其他组织或自然人，提供合法有效的统一社会信用代码的营业执照(含年度报告)或事业单位法人证书等国家规定的相关证明，自然人参与的提供其身份证明;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法定代表人直接参加，须出具法定代表人身份证明文件、法定代表人身份证复印件;非法定代表人参加，须出具法定代表人授权委托书、法定代表人身份证复印件及被授权人身份证复印件;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的财务审计报告(成立时间至提交响应文件截止时间不足一年的可提供成立后任意时段的资产负债表)或提交响应文件截止时间前三个月内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提供已缴纳的2024年11月份至2025年月11月份任意一个月份的缴税凭证;依法免税的供应商应提供相关文件证明;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供应商须提供提供2024年度11月至2025年度11月份任意一个月份的社会保障资金缴存证明或社保机构开具的社会保险参保缴费情况证明;依法不需要缴纳社会保障资金的应提供相关文件证明;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前三年无重大违纪声明</w:t>
            </w:r>
          </w:p>
        </w:tc>
        <w:tc>
          <w:tcPr>
            <w:tcW w:type="dxa" w:w="3322"/>
          </w:tcPr>
          <w:p>
            <w:pPr>
              <w:pStyle w:val="null3"/>
            </w:pPr>
            <w:r>
              <w:rPr>
                <w:rFonts w:ascii="仿宋_GB2312" w:hAnsi="仿宋_GB2312" w:cs="仿宋_GB2312" w:eastAsia="仿宋_GB2312"/>
              </w:rPr>
              <w:t>供应商应出具参加本次采购活动前三年内在经营活动中没有重大违法记录的书面声明；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供应商须提供具备履行合同所必需的设备及专业技术能力的承诺；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技术和商务偏离表.docx 业绩证明材料.docx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业绩证明材料.docx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技术和商务偏离表.docx 业绩证明材料.docx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商务应答表 技术和商务偏离表.docx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技术和商务偏离表.docx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业绩证明材料.docx 技术和商务偏离表.docx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根据供应商对本项目的理解分析进行综合评审: 1、对本项目的背景、内容及意义理解非常透彻，对项目的重点及难点有具体分析及具体措施，措施合理，可行性强,得10-12分； 2、对本项目的背景、内容及意义有较好的理解,对项目重点及难点有较好的分析,可行性较强，得7-9分； 3、对本项目的背景、内容及意义有一定理解,对项目重点及难点有一定分析,得4-6分； 4、对本项目的背景、内容及意义理解不到位,对项目重点及难点分析较差,可行性差得0-3分； 5.未提供不计分。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根据供应商针对本项目制定的实施方案（包括但不限于工作流程节点梳理、工作制度，现场管理、组织及协调，团队人员安排、秩序维护、安保计划、后勤保障、医疗救援等方面）进行评审: 1、项目实施方案内容详细完整、科学合理、针对性强、可行性高，完全满足项目采购要求的，得11-15分； 2、项目实施方案内容较为详细完整、科学合理，针对性较强、可行性较高，满足项目采购要求的，得8-10分； 3、项目实施方案内容基本完整、合理，针对性、可行性一般，基本满足项目采购要求的，得5-7分； 4、项目实施方案内容不够详细完整，合理性、针对性、可行性较差，部分满足项目采购要求的，得0-4分； 5、未提供不计分。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1、项目服务质量保障措施具体、合理、可行强得7-10分； 2、项目服务质量保障措施比较具体、合理、可行较强，得4-6分； 3、、项目服务质量保障措施较差，合理性、可行性较差，得0-3分； 4、未提供或其他不得分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根据供应商提供的应急预案及突发事件应急保障措施进行评审： 1、应急预案内容分析全面、具体、合理，应对突发事件的保障措施详细、可行、有针对性，得11-15分； 2、应急预案内容分析较为全面、具体、合理，应对突发事件的保障措施较为详细、可行，有详细的针对性，得8-10分； 3、应急预案内容分析基本全面、具体、合理，应对突发事件的保障措施基本详细、可行，比较有针对性，得5-7分； 4、应急预案内容分析不够全面、具体、合理，应对突发事件的保障措施不够详细，可行性、针对性较差，得0-4分； 5、未提供或其他不得分。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根据供应商提供的进度计划保证措施进行评审： 1、制定了详细、合理的服务进度计划及进度保证措施，服务计划目标完全满足采购需求，得7-10分； 2、制定了比较详细、合理的服务进度计划及进度保证措施，服务计划目标能够满足采购需求，得4-6分； 3、制定了的服务进度计划及进度保证措施基本合理、可行，服务计划目标基本满足采购需求，得2-3分； 4、制定的服务进度计划及进度保证措施内容较差，服务计划目标不能满足采购需求，得0-1分；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根据供应商针对本项目配备的团队人员情况进行评审： 1、团队组织架构、人员构成及分工合理，岗位设置明确，责任制度严谨、规范，工作人员经验丰富，得7-9分； 2、团队组织架构、人员构成及分工较为合理，岗位设置比较明确，责任制度较为严谨、规范，工作人员经验比较丰富，得4-6分； 3、团队组织架构、人员构成及分工不够合理，岗位设置不够明确，责任制度不够严谨、规范，工作人员经验较少，得0-3分； 4、未提供或其他不得分。 注：须提供项目团队人员名单（包括姓名、工作职责、相关证书等），否则不得分。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机械配备和材料投入</w:t>
            </w:r>
          </w:p>
        </w:tc>
        <w:tc>
          <w:tcPr>
            <w:tcW w:type="dxa" w:w="2492"/>
          </w:tcPr>
          <w:p>
            <w:pPr>
              <w:pStyle w:val="null3"/>
            </w:pPr>
            <w:r>
              <w:rPr>
                <w:rFonts w:ascii="仿宋_GB2312" w:hAnsi="仿宋_GB2312" w:cs="仿宋_GB2312" w:eastAsia="仿宋_GB2312"/>
              </w:rPr>
              <w:t>供应商针对本项目提供施工机械配备和材料投入计划。1、施工机械配备完善，材料投入计划内容全面、可行性高，完全满足采购需求的，得5-6分;2、施工机械配备基本完善,材料投入计划内容较为完整，可行性较高，满足采购需求的，得3-4分。3、施工机械配备基本完善,材料投入计划内容粗略，得0-2分，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依据对本项目的理解，切合项目实际情况，为采购人提供有利于项目实施的合理化建议，按其内容综合评审。 1、合理化建议内容完整全面、详尽合理、具备较强的可操作性，得7-9分； 2、合理化建议内容基本完整、合理、具备较强的可操作性，得4-6分 3、合理化建议内容条款有针对性，但表述简单，可操作性欠缺的得0-3分；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供应商2022年11月1日至今类似项目业绩，每提供1份得2分，最高得4分。 业绩证明：以合同为准，须在响应文件中附合同的扫描件加盖单位公章，原件备查）弄虚作假者，取消其成交资格。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