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3F132">
      <w:pPr>
        <w:pStyle w:val="7"/>
        <w:jc w:val="center"/>
        <w:outlineLvl w:val="1"/>
        <w:rPr>
          <w:rFonts w:hint="eastAsia" w:ascii="仿宋" w:hAnsi="仿宋" w:eastAsia="仿宋" w:cs="仿宋"/>
          <w:color w:val="auto"/>
          <w:highlight w:val="none"/>
        </w:rPr>
      </w:pPr>
      <w:r>
        <w:rPr>
          <w:rFonts w:hint="eastAsia" w:ascii="仿宋" w:hAnsi="仿宋" w:eastAsia="仿宋" w:cs="仿宋"/>
          <w:b/>
          <w:color w:val="auto"/>
          <w:sz w:val="36"/>
          <w:highlight w:val="none"/>
        </w:rPr>
        <w:t>第八章 拟签订采购合同文本</w:t>
      </w:r>
    </w:p>
    <w:p w14:paraId="01E64474">
      <w:pPr>
        <w:shd w:val="clear"/>
        <w:jc w:val="center"/>
        <w:rPr>
          <w:rFonts w:hint="eastAsia" w:ascii="仿宋" w:hAnsi="仿宋" w:eastAsia="仿宋" w:cs="仿宋"/>
          <w:b w:val="0"/>
          <w:bCs w:val="0"/>
          <w:color w:val="auto"/>
          <w:sz w:val="40"/>
          <w:szCs w:val="40"/>
          <w:highlight w:val="none"/>
          <w:lang w:val="en-US" w:eastAsia="zh-CN"/>
        </w:rPr>
      </w:pPr>
    </w:p>
    <w:p w14:paraId="01064977">
      <w:pPr>
        <w:widowControl/>
        <w:snapToGrid w:val="0"/>
        <w:jc w:val="center"/>
        <w:textAlignment w:val="baseline"/>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w:t>
      </w:r>
    </w:p>
    <w:p w14:paraId="40C641B8">
      <w:pPr>
        <w:widowControl/>
        <w:snapToGrid w:val="0"/>
        <w:jc w:val="center"/>
        <w:textAlignment w:val="baseline"/>
        <w:rPr>
          <w:rFonts w:hint="eastAsia" w:ascii="仿宋" w:hAnsi="仿宋" w:eastAsia="仿宋" w:cs="仿宋"/>
          <w:b/>
          <w:bCs/>
          <w:sz w:val="56"/>
          <w:szCs w:val="56"/>
          <w:lang w:val="en-US" w:eastAsia="zh-CN"/>
        </w:rPr>
      </w:pPr>
    </w:p>
    <w:p w14:paraId="10479399">
      <w:pPr>
        <w:widowControl/>
        <w:snapToGrid w:val="0"/>
        <w:jc w:val="center"/>
        <w:textAlignment w:val="baseline"/>
        <w:rPr>
          <w:rFonts w:hint="eastAsia" w:ascii="仿宋" w:hAnsi="仿宋" w:eastAsia="仿宋" w:cs="仿宋"/>
          <w:b/>
          <w:bCs/>
          <w:sz w:val="44"/>
          <w:szCs w:val="44"/>
        </w:rPr>
      </w:pPr>
      <w:r>
        <w:rPr>
          <w:rFonts w:hint="eastAsia" w:ascii="仿宋" w:hAnsi="仿宋" w:eastAsia="仿宋" w:cs="仿宋"/>
          <w:b/>
          <w:bCs/>
          <w:sz w:val="44"/>
          <w:szCs w:val="44"/>
          <w:lang w:val="en-US" w:eastAsia="zh-CN"/>
        </w:rPr>
        <w:t>坐席员人力资源服务项目</w:t>
      </w:r>
    </w:p>
    <w:p w14:paraId="37DB7EB2">
      <w:pPr>
        <w:widowControl/>
        <w:snapToGrid w:val="0"/>
        <w:jc w:val="center"/>
        <w:textAlignment w:val="baseline"/>
        <w:rPr>
          <w:rFonts w:hint="eastAsia" w:ascii="仿宋" w:hAnsi="仿宋" w:eastAsia="仿宋" w:cs="仿宋"/>
          <w:b/>
          <w:bCs/>
          <w:sz w:val="52"/>
          <w:szCs w:val="52"/>
        </w:rPr>
      </w:pPr>
    </w:p>
    <w:p w14:paraId="1EF14D2D">
      <w:pPr>
        <w:widowControl/>
        <w:snapToGrid w:val="0"/>
        <w:jc w:val="center"/>
        <w:textAlignment w:val="baseline"/>
        <w:rPr>
          <w:rFonts w:hint="eastAsia" w:ascii="仿宋" w:hAnsi="仿宋" w:eastAsia="仿宋" w:cs="仿宋"/>
          <w:b/>
          <w:bCs/>
          <w:sz w:val="52"/>
          <w:szCs w:val="52"/>
        </w:rPr>
      </w:pPr>
    </w:p>
    <w:p w14:paraId="647D649A">
      <w:pPr>
        <w:widowControl/>
        <w:snapToGrid w:val="0"/>
        <w:jc w:val="center"/>
        <w:textAlignment w:val="baseline"/>
        <w:rPr>
          <w:rFonts w:hint="eastAsia" w:ascii="仿宋" w:hAnsi="仿宋" w:eastAsia="仿宋" w:cs="仿宋"/>
          <w:b/>
          <w:bCs/>
          <w:sz w:val="52"/>
          <w:szCs w:val="52"/>
        </w:rPr>
      </w:pPr>
    </w:p>
    <w:p w14:paraId="69314627">
      <w:pPr>
        <w:widowControl/>
        <w:snapToGrid w:val="0"/>
        <w:jc w:val="center"/>
        <w:textAlignment w:val="baseline"/>
        <w:rPr>
          <w:rFonts w:hint="eastAsia" w:ascii="仿宋" w:hAnsi="仿宋" w:eastAsia="仿宋" w:cs="仿宋"/>
          <w:b/>
          <w:bCs/>
          <w:sz w:val="52"/>
          <w:szCs w:val="52"/>
        </w:rPr>
      </w:pPr>
      <w:r>
        <w:rPr>
          <w:rFonts w:hint="eastAsia" w:ascii="仿宋" w:hAnsi="仿宋" w:eastAsia="仿宋" w:cs="仿宋"/>
          <w:b/>
          <w:bCs/>
          <w:sz w:val="52"/>
          <w:szCs w:val="52"/>
        </w:rPr>
        <w:t>服务采购合同</w:t>
      </w:r>
    </w:p>
    <w:p w14:paraId="2D353574">
      <w:pPr>
        <w:widowControl/>
        <w:snapToGrid w:val="0"/>
        <w:jc w:val="center"/>
        <w:textAlignment w:val="baseline"/>
        <w:rPr>
          <w:rFonts w:hint="eastAsia" w:ascii="仿宋" w:hAnsi="仿宋" w:eastAsia="仿宋" w:cs="仿宋"/>
          <w:b/>
          <w:bCs/>
          <w:sz w:val="52"/>
          <w:szCs w:val="52"/>
        </w:rPr>
      </w:pPr>
    </w:p>
    <w:p w14:paraId="2F6C9998">
      <w:pPr>
        <w:widowControl/>
        <w:snapToGrid w:val="0"/>
        <w:jc w:val="center"/>
        <w:textAlignment w:val="baseline"/>
        <w:rPr>
          <w:rFonts w:hint="eastAsia" w:ascii="仿宋" w:hAnsi="仿宋" w:eastAsia="仿宋" w:cs="仿宋"/>
          <w:b/>
          <w:bCs/>
          <w:sz w:val="52"/>
          <w:szCs w:val="52"/>
        </w:rPr>
      </w:pPr>
    </w:p>
    <w:p w14:paraId="2FA2D84A">
      <w:pPr>
        <w:widowControl/>
        <w:textAlignment w:val="baseline"/>
        <w:rPr>
          <w:rFonts w:hint="eastAsia" w:ascii="仿宋" w:hAnsi="仿宋" w:eastAsia="仿宋" w:cs="仿宋"/>
          <w:szCs w:val="20"/>
        </w:rPr>
      </w:pPr>
    </w:p>
    <w:p w14:paraId="37ED85F8">
      <w:pPr>
        <w:widowControl/>
        <w:snapToGrid w:val="0"/>
        <w:textAlignment w:val="baseline"/>
        <w:rPr>
          <w:rFonts w:hint="eastAsia" w:ascii="仿宋" w:hAnsi="仿宋" w:eastAsia="仿宋" w:cs="仿宋"/>
          <w:szCs w:val="20"/>
        </w:rPr>
      </w:pPr>
    </w:p>
    <w:p w14:paraId="69DD2C2B">
      <w:pPr>
        <w:widowControl/>
        <w:snapToGrid w:val="0"/>
        <w:textAlignment w:val="baseline"/>
        <w:rPr>
          <w:rFonts w:hint="eastAsia" w:ascii="仿宋" w:hAnsi="仿宋" w:eastAsia="仿宋" w:cs="仿宋"/>
          <w:szCs w:val="20"/>
        </w:rPr>
      </w:pPr>
    </w:p>
    <w:p w14:paraId="7F7F40E4">
      <w:pPr>
        <w:widowControl/>
        <w:snapToGrid w:val="0"/>
        <w:textAlignment w:val="baseline"/>
        <w:rPr>
          <w:rFonts w:hint="eastAsia" w:ascii="仿宋" w:hAnsi="仿宋" w:eastAsia="仿宋" w:cs="仿宋"/>
          <w:szCs w:val="20"/>
        </w:rPr>
      </w:pPr>
    </w:p>
    <w:p w14:paraId="03562A5B">
      <w:pPr>
        <w:widowControl/>
        <w:snapToGrid w:val="0"/>
        <w:textAlignment w:val="baseline"/>
        <w:rPr>
          <w:rFonts w:hint="eastAsia" w:ascii="仿宋" w:hAnsi="仿宋" w:eastAsia="仿宋" w:cs="仿宋"/>
          <w:sz w:val="28"/>
          <w:szCs w:val="28"/>
        </w:rPr>
      </w:pPr>
    </w:p>
    <w:p w14:paraId="3B04AA5D">
      <w:pPr>
        <w:widowControl/>
        <w:snapToGrid w:val="0"/>
        <w:spacing w:line="360" w:lineRule="auto"/>
        <w:textAlignment w:val="baseline"/>
        <w:rPr>
          <w:rFonts w:hint="eastAsia" w:ascii="仿宋" w:hAnsi="仿宋" w:eastAsia="仿宋" w:cs="仿宋"/>
          <w:sz w:val="28"/>
          <w:szCs w:val="28"/>
          <w:u w:val="single"/>
        </w:rPr>
      </w:pPr>
      <w:r>
        <w:rPr>
          <w:rFonts w:hint="eastAsia" w:ascii="仿宋" w:hAnsi="仿宋" w:eastAsia="仿宋" w:cs="仿宋"/>
          <w:sz w:val="28"/>
          <w:szCs w:val="28"/>
        </w:rPr>
        <w:t xml:space="preserve">          甲方：</w:t>
      </w:r>
      <w:r>
        <w:rPr>
          <w:rFonts w:hint="eastAsia" w:ascii="仿宋" w:hAnsi="仿宋" w:eastAsia="仿宋" w:cs="仿宋"/>
          <w:sz w:val="28"/>
          <w:szCs w:val="28"/>
          <w:u w:val="single" w:color="000000"/>
        </w:rPr>
        <w:t xml:space="preserve">                                  </w:t>
      </w:r>
    </w:p>
    <w:p w14:paraId="233016C1">
      <w:pPr>
        <w:widowControl/>
        <w:snapToGrid w:val="0"/>
        <w:spacing w:line="360" w:lineRule="auto"/>
        <w:textAlignment w:val="baseline"/>
        <w:rPr>
          <w:rFonts w:hint="eastAsia" w:ascii="仿宋" w:hAnsi="仿宋" w:eastAsia="仿宋" w:cs="仿宋"/>
          <w:sz w:val="28"/>
          <w:szCs w:val="28"/>
        </w:rPr>
      </w:pPr>
    </w:p>
    <w:p w14:paraId="0AB06992">
      <w:pPr>
        <w:widowControl/>
        <w:snapToGrid w:val="0"/>
        <w:spacing w:line="360" w:lineRule="auto"/>
        <w:textAlignment w:val="baseline"/>
        <w:rPr>
          <w:rFonts w:hint="eastAsia" w:ascii="仿宋" w:hAnsi="仿宋" w:eastAsia="仿宋" w:cs="仿宋"/>
          <w:sz w:val="28"/>
          <w:szCs w:val="28"/>
          <w:u w:val="single"/>
        </w:rPr>
      </w:pPr>
      <w:r>
        <w:rPr>
          <w:rFonts w:hint="eastAsia" w:ascii="仿宋" w:hAnsi="仿宋" w:eastAsia="仿宋" w:cs="仿宋"/>
          <w:sz w:val="28"/>
          <w:szCs w:val="28"/>
        </w:rPr>
        <w:t xml:space="preserve">          乙方：</w:t>
      </w:r>
      <w:r>
        <w:rPr>
          <w:rFonts w:hint="eastAsia" w:ascii="仿宋" w:hAnsi="仿宋" w:eastAsia="仿宋" w:cs="仿宋"/>
          <w:sz w:val="28"/>
          <w:szCs w:val="28"/>
          <w:u w:val="single" w:color="000000"/>
        </w:rPr>
        <w:t xml:space="preserve">                                  </w:t>
      </w:r>
    </w:p>
    <w:p w14:paraId="2BE13CE3">
      <w:pPr>
        <w:widowControl/>
        <w:snapToGrid w:val="0"/>
        <w:spacing w:line="360" w:lineRule="auto"/>
        <w:textAlignment w:val="baseline"/>
        <w:rPr>
          <w:rFonts w:hint="eastAsia" w:ascii="仿宋" w:hAnsi="仿宋" w:eastAsia="仿宋" w:cs="仿宋"/>
          <w:sz w:val="28"/>
          <w:szCs w:val="28"/>
          <w:u w:val="single"/>
        </w:rPr>
      </w:pPr>
    </w:p>
    <w:p w14:paraId="238CE72D">
      <w:pPr>
        <w:widowControl/>
        <w:snapToGrid w:val="0"/>
        <w:jc w:val="center"/>
        <w:textAlignment w:val="baseline"/>
        <w:rPr>
          <w:rFonts w:hint="eastAsia" w:ascii="仿宋" w:hAnsi="仿宋" w:eastAsia="仿宋" w:cs="仿宋"/>
          <w:sz w:val="28"/>
          <w:szCs w:val="28"/>
          <w:u w:val="single"/>
        </w:rPr>
      </w:pPr>
    </w:p>
    <w:p w14:paraId="04437EBC">
      <w:pPr>
        <w:widowControl/>
        <w:snapToGrid w:val="0"/>
        <w:jc w:val="center"/>
        <w:textAlignment w:val="baseline"/>
        <w:rPr>
          <w:rFonts w:hint="eastAsia" w:ascii="仿宋" w:hAnsi="仿宋" w:eastAsia="仿宋" w:cs="仿宋"/>
          <w:sz w:val="28"/>
          <w:szCs w:val="28"/>
        </w:rPr>
      </w:pPr>
      <w:r>
        <w:rPr>
          <w:rFonts w:hint="eastAsia" w:ascii="仿宋" w:hAnsi="仿宋" w:eastAsia="仿宋" w:cs="仿宋"/>
          <w:sz w:val="28"/>
          <w:szCs w:val="28"/>
          <w:u w:val="single" w:color="000000"/>
        </w:rPr>
        <w:t xml:space="preserve">      </w:t>
      </w:r>
      <w:r>
        <w:rPr>
          <w:rFonts w:hint="eastAsia" w:ascii="仿宋" w:hAnsi="仿宋" w:eastAsia="仿宋" w:cs="仿宋"/>
          <w:sz w:val="28"/>
          <w:szCs w:val="28"/>
        </w:rPr>
        <w:t>年</w:t>
      </w:r>
      <w:r>
        <w:rPr>
          <w:rFonts w:hint="eastAsia" w:ascii="仿宋" w:hAnsi="仿宋" w:eastAsia="仿宋" w:cs="仿宋"/>
          <w:sz w:val="28"/>
          <w:szCs w:val="28"/>
          <w:u w:val="single" w:color="000000"/>
        </w:rPr>
        <w:t xml:space="preserve">   </w:t>
      </w:r>
      <w:r>
        <w:rPr>
          <w:rFonts w:hint="eastAsia" w:ascii="仿宋" w:hAnsi="仿宋" w:eastAsia="仿宋" w:cs="仿宋"/>
          <w:sz w:val="28"/>
          <w:szCs w:val="28"/>
        </w:rPr>
        <w:t>月</w:t>
      </w:r>
      <w:r>
        <w:rPr>
          <w:rFonts w:hint="eastAsia" w:ascii="仿宋" w:hAnsi="仿宋" w:eastAsia="仿宋" w:cs="仿宋"/>
          <w:sz w:val="28"/>
          <w:szCs w:val="28"/>
          <w:u w:val="single" w:color="000000"/>
        </w:rPr>
        <w:t xml:space="preserve">   </w:t>
      </w:r>
      <w:r>
        <w:rPr>
          <w:rFonts w:hint="eastAsia" w:ascii="仿宋" w:hAnsi="仿宋" w:eastAsia="仿宋" w:cs="仿宋"/>
          <w:sz w:val="28"/>
          <w:szCs w:val="28"/>
        </w:rPr>
        <w:t>日</w:t>
      </w:r>
    </w:p>
    <w:p w14:paraId="60B5418C">
      <w:pPr>
        <w:widowControl/>
        <w:textAlignment w:val="baseline"/>
        <w:rPr>
          <w:rFonts w:hint="eastAsia" w:ascii="仿宋" w:hAnsi="仿宋" w:eastAsia="仿宋" w:cs="仿宋"/>
          <w:szCs w:val="20"/>
        </w:rPr>
      </w:pPr>
    </w:p>
    <w:p w14:paraId="1785336C">
      <w:pPr>
        <w:snapToGrid w:val="0"/>
        <w:spacing w:before="312" w:line="480" w:lineRule="atLeast"/>
        <w:jc w:val="center"/>
        <w:textAlignment w:val="baseline"/>
        <w:rPr>
          <w:rFonts w:hint="eastAsia" w:ascii="仿宋" w:hAnsi="仿宋" w:eastAsia="仿宋" w:cs="仿宋"/>
          <w:b/>
          <w:kern w:val="2"/>
          <w:sz w:val="36"/>
          <w:szCs w:val="36"/>
          <w:lang w:val="en-US" w:eastAsia="zh-CN" w:bidi="ar-SA"/>
        </w:rPr>
      </w:pPr>
    </w:p>
    <w:p w14:paraId="72EF37C2">
      <w:pPr>
        <w:spacing w:before="240" w:line="360" w:lineRule="auto"/>
        <w:jc w:val="center"/>
        <w:outlineLvl w:val="0"/>
        <w:rPr>
          <w:rFonts w:hint="eastAsia" w:ascii="仿宋" w:hAnsi="仿宋" w:eastAsia="仿宋" w:cs="仿宋"/>
          <w:b/>
          <w:sz w:val="24"/>
          <w:szCs w:val="24"/>
        </w:rPr>
        <w:sectPr>
          <w:footerReference r:id="rId3" w:type="default"/>
          <w:pgSz w:w="11906" w:h="16838"/>
          <w:pgMar w:top="1440" w:right="1332" w:bottom="1440" w:left="1797" w:header="851" w:footer="992" w:gutter="0"/>
          <w:pgNumType w:fmt="decimal" w:start="1"/>
          <w:cols w:space="720" w:num="1"/>
          <w:docGrid w:linePitch="312" w:charSpace="0"/>
        </w:sectPr>
      </w:pPr>
    </w:p>
    <w:p w14:paraId="300E10AD">
      <w:pPr>
        <w:pStyle w:val="8"/>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采购人（甲方）：</w:t>
      </w:r>
    </w:p>
    <w:p w14:paraId="349D8A70">
      <w:pPr>
        <w:pStyle w:val="8"/>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供应商（乙方）：</w:t>
      </w:r>
    </w:p>
    <w:p w14:paraId="43A3C5B4">
      <w:pPr>
        <w:pStyle w:val="3"/>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根据《中华人民共和国政府采购法》及实施条例、《中华人民共和国民法典》和</w:t>
      </w:r>
      <w:r>
        <w:rPr>
          <w:rFonts w:hint="eastAsia" w:ascii="仿宋" w:hAnsi="仿宋" w:eastAsia="仿宋" w:cs="仿宋"/>
          <w:color w:val="auto"/>
          <w:sz w:val="24"/>
          <w:szCs w:val="24"/>
          <w:lang w:eastAsia="zh-CN"/>
        </w:rPr>
        <w:t>坐席员人力资源服务项目</w:t>
      </w:r>
      <w:r>
        <w:rPr>
          <w:rFonts w:hint="eastAsia" w:ascii="仿宋" w:hAnsi="仿宋" w:eastAsia="仿宋" w:cs="仿宋"/>
          <w:color w:val="auto"/>
          <w:sz w:val="24"/>
          <w:szCs w:val="24"/>
        </w:rPr>
        <w:t>（采购项目编号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KWX-2026-CS1009</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的采购文件、响应文件等有关规定，为确保甲方采购项目的顺利实施，甲、乙双方在平等自愿原则下签订本合同，并共同遵守如下条款，其主要要求如下：</w:t>
      </w:r>
    </w:p>
    <w:p w14:paraId="152F55FF">
      <w:pPr>
        <w:keepNext w:val="0"/>
        <w:keepLines w:val="0"/>
        <w:pageBreakBefore w:val="0"/>
        <w:widowControl/>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auto"/>
          <w:sz w:val="24"/>
          <w:szCs w:val="24"/>
        </w:rPr>
      </w:pPr>
      <w:bookmarkStart w:id="0" w:name="_Toc11438"/>
      <w:r>
        <w:rPr>
          <w:rFonts w:hint="eastAsia" w:ascii="仿宋" w:hAnsi="仿宋" w:eastAsia="仿宋" w:cs="仿宋"/>
          <w:b/>
          <w:color w:val="auto"/>
          <w:sz w:val="24"/>
          <w:szCs w:val="24"/>
        </w:rPr>
        <w:t>第一条  项目基本情况</w:t>
      </w:r>
      <w:bookmarkEnd w:id="0"/>
    </w:p>
    <w:p w14:paraId="36A59B61">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bookmarkStart w:id="1" w:name="_Toc24394"/>
      <w:r>
        <w:rPr>
          <w:rFonts w:hint="eastAsia" w:ascii="仿宋" w:hAnsi="仿宋" w:eastAsia="仿宋" w:cs="仿宋"/>
          <w:snapToGrid w:val="0"/>
          <w:color w:val="auto"/>
          <w:kern w:val="0"/>
          <w:sz w:val="24"/>
          <w:szCs w:val="24"/>
          <w:lang w:val="en-US" w:eastAsia="zh-CN" w:bidi="ar-SA"/>
        </w:rPr>
        <w:t>坐席员人力资源服务项目是为了更好地配合城市执法人员规范区级数字化城管平台相关工作，通过专业的第三方人力资源服务机构，提供高效、有序的人力资源管理服务，加强规范坐席员管理，保障用人单位及坐席员合法权益。人力资源服务包括签订人员劳动合同，代发人员工资，代办人员社会保险，处理合同服务期内劳资纠纷和调解管理纠纷；根据用人单位需求，提供其他人事代理服务等。</w:t>
      </w:r>
    </w:p>
    <w:p w14:paraId="25B9A8B0">
      <w:pPr>
        <w:keepNext w:val="0"/>
        <w:keepLines w:val="0"/>
        <w:pageBreakBefore w:val="0"/>
        <w:widowControl/>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第二条  服务期限</w:t>
      </w:r>
      <w:bookmarkEnd w:id="1"/>
    </w:p>
    <w:p w14:paraId="14B7600C">
      <w:pPr>
        <w:keepNext w:val="0"/>
        <w:keepLines w:val="0"/>
        <w:pageBreakBefore w:val="0"/>
        <w:widowControl/>
        <w:tabs>
          <w:tab w:val="left" w:pos="387"/>
        </w:tabs>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b w:val="0"/>
          <w:bCs/>
          <w:color w:val="auto"/>
          <w:sz w:val="24"/>
          <w:szCs w:val="24"/>
          <w:lang w:eastAsia="zh-CN"/>
        </w:rPr>
      </w:pPr>
      <w:bookmarkStart w:id="2" w:name="_Toc2407"/>
      <w:bookmarkStart w:id="3" w:name="_Toc225244852"/>
      <w:bookmarkStart w:id="4" w:name="_Toc211911348"/>
      <w:bookmarkStart w:id="5" w:name="_Toc283019214"/>
      <w:bookmarkStart w:id="6" w:name="_Toc237145406"/>
      <w:bookmarkStart w:id="7" w:name="_Toc211854449"/>
      <w:bookmarkStart w:id="8" w:name="_Toc212019594"/>
      <w:bookmarkStart w:id="9" w:name="_Toc286993786"/>
      <w:bookmarkStart w:id="10" w:name="_Toc251768862"/>
      <w:bookmarkStart w:id="11" w:name="_Toc232492928"/>
      <w:bookmarkStart w:id="12" w:name="_Toc241833903"/>
      <w:bookmarkStart w:id="13" w:name="_Toc247334841"/>
      <w:bookmarkStart w:id="14" w:name="_Toc239568418"/>
      <w:bookmarkStart w:id="15" w:name="_Toc282696226"/>
      <w:bookmarkStart w:id="16" w:name="_Toc225654644"/>
      <w:bookmarkStart w:id="17" w:name="_Toc238984975"/>
      <w:bookmarkStart w:id="18" w:name="_Toc225670751"/>
      <w:bookmarkStart w:id="19" w:name="_Toc239233914"/>
      <w:bookmarkStart w:id="20" w:name="_Toc185395249"/>
      <w:r>
        <w:rPr>
          <w:rFonts w:hint="eastAsia" w:ascii="仿宋" w:hAnsi="仿宋" w:eastAsia="仿宋" w:cs="仿宋"/>
          <w:b w:val="0"/>
          <w:bCs/>
          <w:color w:val="auto"/>
          <w:sz w:val="24"/>
          <w:szCs w:val="24"/>
          <w:lang w:val="en-US" w:eastAsia="zh-CN"/>
        </w:rPr>
        <w:t>服务期 2 年，合同一年一签，经采购人考核合格，可续签下一年合同。</w:t>
      </w:r>
    </w:p>
    <w:p w14:paraId="0300DE76">
      <w:pPr>
        <w:keepNext w:val="0"/>
        <w:keepLines w:val="0"/>
        <w:pageBreakBefore w:val="0"/>
        <w:widowControl/>
        <w:tabs>
          <w:tab w:val="left" w:pos="387"/>
        </w:tabs>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第三条  服务内容与质量标准</w:t>
      </w:r>
      <w:bookmarkEnd w:id="2"/>
    </w:p>
    <w:p w14:paraId="7472FFA7">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bookmarkStart w:id="21" w:name="_Toc20078"/>
      <w:r>
        <w:rPr>
          <w:rFonts w:hint="eastAsia" w:ascii="仿宋" w:hAnsi="仿宋" w:eastAsia="仿宋" w:cs="仿宋"/>
          <w:snapToGrid w:val="0"/>
          <w:color w:val="auto"/>
          <w:kern w:val="0"/>
          <w:sz w:val="24"/>
          <w:szCs w:val="24"/>
          <w:lang w:val="en-US" w:eastAsia="zh-CN" w:bidi="ar-SA"/>
        </w:rPr>
        <w:t>（一）、服务内容与要求</w:t>
      </w:r>
    </w:p>
    <w:p w14:paraId="251EB5EB">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1.员工招聘：按采购人所需工作人数及岗位</w:t>
      </w:r>
      <w:bookmarkStart w:id="65" w:name="_GoBack"/>
      <w:bookmarkEnd w:id="65"/>
      <w:r>
        <w:rPr>
          <w:rFonts w:hint="eastAsia" w:ascii="仿宋" w:hAnsi="仿宋" w:eastAsia="仿宋" w:cs="仿宋"/>
          <w:snapToGrid w:val="0"/>
          <w:color w:val="auto"/>
          <w:kern w:val="0"/>
          <w:sz w:val="24"/>
          <w:szCs w:val="24"/>
          <w:lang w:val="en-US" w:eastAsia="zh-CN" w:bidi="ar-SA"/>
        </w:rPr>
        <w:t xml:space="preserve">要求，提供资质合格的坐席员，经采购人面试合格后，由供应商统一安排体检，派遣至城管指挥中心工作，并确保人员到岗。供应商提供派遣人员的详细简历及身份证、学历学位证及无犯罪记录证明等有效证件。合同期限内若有服务人员离职，供应商应及时补充合格人员到岗，确保服务连续性。 </w:t>
      </w:r>
    </w:p>
    <w:p w14:paraId="3648C6EF">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2.员工入职：负责体检合格及入职资料完备的人员的入职手续办理，签订（续签）劳动合同。 </w:t>
      </w:r>
    </w:p>
    <w:p w14:paraId="3B19334E">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3.员工培训：负责新上岗员工的培训，如规章制度、安全教育、岗位业务技能培训等。 </w:t>
      </w:r>
    </w:p>
    <w:p w14:paraId="189145F0">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4.员工福利待遇：员工薪酬发放；依照国家、陕西省和西安市的相关规定，为员工依法缴纳社会保险，办理调入、调出的社会保险转移手续；协助工伤、患病、孕期等特殊情况的合规处置。积极响应员工诉求。 </w:t>
      </w:r>
    </w:p>
    <w:p w14:paraId="646741C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5.员工档案管理：建立员工档案，完善员工个人证件、入职、考核、异动、合同等相关资料。 </w:t>
      </w:r>
    </w:p>
    <w:p w14:paraId="3CCE53CB">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6.员工离职：负责办理离职手续、解除劳动关系程序；处理合同服务期内的劳资纠纷；协助处理问题员工。 </w:t>
      </w:r>
    </w:p>
    <w:p w14:paraId="389B3937">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7.员工管理：采购人负责派遣员工日常管理、岗位调配及考核，有权提出人员更换、退回要求，供应商配合执行。 </w:t>
      </w:r>
    </w:p>
    <w:p w14:paraId="15EF8486">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8.按照采购人要求的内容、时间完成服务内容。提供的服务符合现行国家关于城市管理辅助工作相关标准、行业规范及陕西省/西安市地方相关标准，无标准的需符合采购人明确的服务规范要求。 </w:t>
      </w:r>
    </w:p>
    <w:p w14:paraId="7C115E9F">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（二）日常服务内容</w:t>
      </w:r>
    </w:p>
    <w:p w14:paraId="2ADA257F">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坐席员主要承担下列城市管理辅助工作: 1.负责接听、受理区级24小时城管服务热线；2.处置平台多渠道接入的工单；3.开展视频监控日常巡查；4.负责日常综合性事务；5.用人单位交办的其他工作。 </w:t>
      </w:r>
    </w:p>
    <w:p w14:paraId="782912D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（三）成果交付要求</w:t>
      </w:r>
    </w:p>
    <w:p w14:paraId="563E375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服务期间，供应商需按要求定期提交人员花名册、考核报告、培训记录、薪酬发放及社保缴纳凭证等管理过程文件。合同终止时，需向采购人移交完整的人员服务期档案索引清单。</w:t>
      </w:r>
    </w:p>
    <w:p w14:paraId="3D54F385">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default"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（四）质量标准</w:t>
      </w:r>
    </w:p>
    <w:p w14:paraId="1CF74B53">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供应商提供的服务，应全面满足竞争性磋商文件的要求，竞争性磋商文件未明确要求的内容，供应商须按采购人的补充要求为准。</w:t>
      </w:r>
    </w:p>
    <w:p w14:paraId="103C1682">
      <w:pPr>
        <w:keepNext w:val="0"/>
        <w:keepLines w:val="0"/>
        <w:pageBreakBefore w:val="0"/>
        <w:widowControl/>
        <w:tabs>
          <w:tab w:val="left" w:pos="387"/>
        </w:tabs>
        <w:wordWrap/>
        <w:overflowPunct/>
        <w:topLinePunct w:val="0"/>
        <w:bidi w:val="0"/>
        <w:adjustRightInd w:val="0"/>
        <w:snapToGrid w:val="0"/>
        <w:spacing w:line="360" w:lineRule="auto"/>
        <w:ind w:firstLine="482" w:firstLineChars="200"/>
        <w:jc w:val="left"/>
        <w:textAlignment w:val="baseline"/>
        <w:outlineLvl w:val="1"/>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第四条  服务费用及支付方式</w:t>
      </w:r>
      <w:bookmarkEnd w:id="21"/>
    </w:p>
    <w:p w14:paraId="28C1947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bookmarkStart w:id="22" w:name="_Toc22959"/>
      <w:r>
        <w:rPr>
          <w:rFonts w:hint="eastAsia" w:ascii="仿宋" w:hAnsi="仿宋" w:eastAsia="仿宋" w:cs="仿宋"/>
          <w:snapToGrid w:val="0"/>
          <w:color w:val="auto"/>
          <w:kern w:val="0"/>
          <w:sz w:val="24"/>
          <w:szCs w:val="24"/>
          <w:lang w:val="en-US" w:eastAsia="zh-CN" w:bidi="ar-SA"/>
        </w:rPr>
        <w:t>1、服务费支付价款</w:t>
      </w:r>
    </w:p>
    <w:p w14:paraId="3AF357A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服务总费用为人民币（大写）：</w:t>
      </w:r>
      <w:r>
        <w:rPr>
          <w:rFonts w:hint="eastAsia" w:ascii="仿宋" w:hAnsi="仿宋" w:eastAsia="仿宋" w:cs="仿宋"/>
          <w:snapToGrid w:val="0"/>
          <w:color w:val="auto"/>
          <w:kern w:val="0"/>
          <w:sz w:val="24"/>
          <w:szCs w:val="24"/>
          <w:u w:val="single"/>
          <w:lang w:val="en-US" w:eastAsia="zh-CN" w:bidi="ar-SA"/>
        </w:rPr>
        <w:t xml:space="preserve">         </w:t>
      </w:r>
      <w:r>
        <w:rPr>
          <w:rFonts w:hint="eastAsia" w:ascii="仿宋" w:hAnsi="仿宋" w:eastAsia="仿宋" w:cs="仿宋"/>
          <w:snapToGrid w:val="0"/>
          <w:color w:val="auto"/>
          <w:kern w:val="0"/>
          <w:sz w:val="24"/>
          <w:szCs w:val="24"/>
          <w:lang w:val="en-US" w:eastAsia="zh-CN" w:bidi="ar-SA"/>
        </w:rPr>
        <w:t>元，￥</w:t>
      </w:r>
      <w:r>
        <w:rPr>
          <w:rFonts w:hint="eastAsia" w:ascii="仿宋" w:hAnsi="仿宋" w:eastAsia="仿宋" w:cs="仿宋"/>
          <w:snapToGrid w:val="0"/>
          <w:color w:val="auto"/>
          <w:kern w:val="0"/>
          <w:sz w:val="24"/>
          <w:szCs w:val="24"/>
          <w:u w:val="single"/>
          <w:lang w:val="en-US" w:eastAsia="zh-CN" w:bidi="ar-SA"/>
        </w:rPr>
        <w:t xml:space="preserve">          </w:t>
      </w:r>
      <w:r>
        <w:rPr>
          <w:rFonts w:hint="eastAsia" w:ascii="仿宋" w:hAnsi="仿宋" w:eastAsia="仿宋" w:cs="仿宋"/>
          <w:snapToGrid w:val="0"/>
          <w:color w:val="auto"/>
          <w:kern w:val="0"/>
          <w:sz w:val="24"/>
          <w:szCs w:val="24"/>
          <w:lang w:val="en-US" w:eastAsia="zh-CN" w:bidi="ar-SA"/>
        </w:rPr>
        <w:t>。</w:t>
      </w:r>
    </w:p>
    <w:p w14:paraId="0FC2C8E6">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支付方式：</w:t>
      </w:r>
    </w:p>
    <w:p w14:paraId="5A170C61">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合同签订后由采购人负责结算，采用月付方式，分12期，每期等额支付，采购方在每月30日前向乙方支付上一期费用，直至采购服务期满结束。</w:t>
      </w:r>
    </w:p>
    <w:p w14:paraId="03D64D0B">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 付款条件说明：第1个月，根据实际情况，乙方提供已完成项目数量清单及全额发票，甲方支付约定金额至乙方账户；累计支付金额不得超出本项目签订的合同金额 ，达到付款条件起 7 日内，支付合同总金额的8.33%。</w:t>
      </w:r>
    </w:p>
    <w:p w14:paraId="696847BE">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付款条件说明：第2个月，根据实际情况，乙方提供已完成项目数量清单及全额发票，甲方支付约定金额至乙方账户；累计支付金额不得超出本项目签订的合同金额 ，达到付款条件起 7 日内，支付合同总金额的8.33%。</w:t>
      </w:r>
    </w:p>
    <w:p w14:paraId="78CFEE01">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付款条件说明：第3个月，根据实际情况，乙方提供已完成项目数量清单及全额发票，甲方支付约定金额至乙方账户；累计支付金额不得超出本项目签订的合同金额 ，达到付款条件起 7 日内，支付合同总金额的 8.33%。</w:t>
      </w:r>
    </w:p>
    <w:p w14:paraId="0332E824">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付款条件说明：第4个月，根据实际情况，乙方提供已完成项目数量清单及全额发票，甲方支付约定金额至乙方账户；累计支付金额不得超出本项目签订的合同金额 ，达到付款条件起 7 日内，支付合同总金额的 8.33%。</w:t>
      </w:r>
    </w:p>
    <w:p w14:paraId="46F8497D">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付款条件说明：第5个月，根据实际情况，乙方提供已完成项目数量清单及全额发票，甲方支付约定金额至乙方账户；累计支付金额不得超出本项目签订的合同金额 ，达到付款条件起 7 日内，支付合同总金额的 8.33%。</w:t>
      </w:r>
    </w:p>
    <w:p w14:paraId="13903784">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付款条件说明：第6个月，根据实际情况，乙方提供已完成项目数量清单及全额发票，甲方支付约定金额至乙方账户；累计支付金额不得超出本项目签订的合同金额 ，达到付款条件起 7 日内，支付合同总金额的 8.33%。</w:t>
      </w:r>
    </w:p>
    <w:p w14:paraId="06CCEFEB">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付款条件说明：第7个月，根据实际情况，乙方提供已完成项目数量清单及全额发票，甲方支付约定金额至乙方账户；累计支付金额不得超出本项目签订的合同金额 ，达到付款条件起 7 日内，支付合同总金额的 8.33%。</w:t>
      </w:r>
    </w:p>
    <w:p w14:paraId="03C7DAC3">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付款条件说明：第8个月，根据实际情况，乙方提供已完成项目数量清单及全额发票，甲方支付约定金额至乙方账户；累计支付金额不得超出本项目签订的合同金额 ，达到付款条件起 7 日内，支付合同总金额的 8.33%。</w:t>
      </w:r>
    </w:p>
    <w:p w14:paraId="5029B0B3">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付款条件说明：第9个月，根据实际情况，乙方提供已完成项目数量清单及全额发票，甲方支付约定金额至乙方账户；累计支付金额不得超出本项目签订的合同金额 ，达到付款条件起 7 日内，支付合同总金额的 8.33%。</w:t>
      </w:r>
    </w:p>
    <w:p w14:paraId="36A614A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付款条件说明：第10个月，根据实际情况，乙方提供已完成项目数量清单及全额发票，甲方支付约定金额至乙方账户；累计支付金额不得超出本项目签订的合同金额 ，达到付款条件起 7 日内，支付合同总金额的 8.33%。</w:t>
      </w:r>
    </w:p>
    <w:p w14:paraId="64990BCA">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付款条件说明：第11个月，根据实际情况，乙方提供已完成项目数量清单及全额发票，甲方支付约定金额至乙方账户；累计支付金额不得超出本项目签订的合同金额 ，达到付款条件起 7 日内，支付合同总金额的 8.33%。</w:t>
      </w:r>
    </w:p>
    <w:p w14:paraId="5A9D72BB">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付款条件说明：第12个月，根据实际情况，乙方提供已完成项目数量清单及全额发票，甲方支付约定金额至乙方账户；累计支付金额不得超出本项目签订的合同金额 ，达到付款条件起 7 日内，支付合同总金额的 8.37%。</w:t>
      </w:r>
    </w:p>
    <w:p w14:paraId="205AA84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3、结算方式：银行转账</w:t>
      </w:r>
    </w:p>
    <w:p w14:paraId="47BCD0C5">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4、乙方收款账户</w:t>
      </w:r>
    </w:p>
    <w:p w14:paraId="4B2D1C05">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账户名称：    </w:t>
      </w:r>
    </w:p>
    <w:p w14:paraId="7AE6A613">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 xml:space="preserve">开户银行：                   </w:t>
      </w:r>
    </w:p>
    <w:p w14:paraId="32D61B1D">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outlineLvl w:val="1"/>
        <w:rPr>
          <w:rFonts w:hint="eastAsia" w:ascii="仿宋" w:hAnsi="仿宋" w:eastAsia="仿宋" w:cs="仿宋"/>
          <w:b/>
          <w:color w:val="auto"/>
          <w:sz w:val="24"/>
          <w:szCs w:val="24"/>
        </w:rPr>
      </w:pPr>
      <w:r>
        <w:rPr>
          <w:rFonts w:hint="eastAsia" w:ascii="仿宋" w:hAnsi="仿宋" w:eastAsia="仿宋" w:cs="仿宋"/>
          <w:snapToGrid w:val="0"/>
          <w:color w:val="auto"/>
          <w:kern w:val="0"/>
          <w:sz w:val="24"/>
          <w:szCs w:val="24"/>
          <w:lang w:val="en-US" w:eastAsia="zh-CN" w:bidi="ar-SA"/>
        </w:rPr>
        <w:t xml:space="preserve">银行账号：  </w:t>
      </w:r>
      <w:r>
        <w:rPr>
          <w:rFonts w:hint="eastAsia" w:ascii="仿宋" w:hAnsi="仿宋" w:eastAsia="仿宋" w:cs="仿宋"/>
          <w:b w:val="0"/>
          <w:bCs/>
          <w:color w:val="auto"/>
          <w:sz w:val="24"/>
          <w:szCs w:val="24"/>
        </w:rPr>
        <w:t xml:space="preserve">               </w:t>
      </w:r>
    </w:p>
    <w:p w14:paraId="49D048EB">
      <w:pPr>
        <w:keepNext w:val="0"/>
        <w:keepLines w:val="0"/>
        <w:pageBreakBefore w:val="0"/>
        <w:widowControl/>
        <w:tabs>
          <w:tab w:val="left" w:pos="1440"/>
        </w:tabs>
        <w:wordWrap/>
        <w:overflowPunct/>
        <w:topLinePunct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color w:val="auto"/>
          <w:sz w:val="24"/>
          <w:szCs w:val="24"/>
        </w:rPr>
        <w:t xml:space="preserve">第五条  </w:t>
      </w:r>
      <w:r>
        <w:rPr>
          <w:rFonts w:hint="eastAsia" w:ascii="仿宋" w:hAnsi="仿宋" w:eastAsia="仿宋" w:cs="仿宋"/>
          <w:b/>
          <w:bCs/>
          <w:color w:val="auto"/>
          <w:sz w:val="24"/>
          <w:szCs w:val="24"/>
          <w:lang w:val="en-US" w:eastAsia="zh-CN"/>
        </w:rPr>
        <w:t>验收</w:t>
      </w:r>
    </w:p>
    <w:p w14:paraId="217CB124">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本项目由采购人相关部门定期对项目进行阶段性验收。</w:t>
      </w:r>
    </w:p>
    <w:p w14:paraId="5CEE82D4">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1.验收标准：按竞争性磋商文件、响应文件、项目检查情况等综合指标进行验收。各项指标均应符合验收标准及要求。</w:t>
      </w:r>
    </w:p>
    <w:p w14:paraId="310679AF">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2.验收合格后，填写验收单，双方签字生效。</w:t>
      </w:r>
    </w:p>
    <w:p w14:paraId="6E2D832B">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3.验收依据：</w:t>
      </w:r>
    </w:p>
    <w:p w14:paraId="2745D898">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a）合同文本；</w:t>
      </w:r>
    </w:p>
    <w:p w14:paraId="6CA6F996">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b）竞争性磋商文件、响应文件、成交通知书；</w:t>
      </w:r>
    </w:p>
    <w:p w14:paraId="7DEB57AA">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c）国家和行业制定的相应的标准和规范；</w:t>
      </w:r>
    </w:p>
    <w:p w14:paraId="0E615359">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d）验收清单。</w:t>
      </w:r>
    </w:p>
    <w:p w14:paraId="066D2754">
      <w:pPr>
        <w:keepNext w:val="0"/>
        <w:keepLines w:val="0"/>
        <w:pageBreakBefore w:val="0"/>
        <w:widowControl/>
        <w:wordWrap/>
        <w:overflowPunct/>
        <w:topLinePunct w:val="0"/>
        <w:bidi w:val="0"/>
        <w:adjustRightInd w:val="0"/>
        <w:snapToGrid w:val="0"/>
        <w:spacing w:line="360" w:lineRule="auto"/>
        <w:ind w:left="425"/>
        <w:textAlignment w:val="baseline"/>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六</w:t>
      </w:r>
      <w:r>
        <w:rPr>
          <w:rFonts w:hint="eastAsia" w:ascii="仿宋" w:hAnsi="仿宋" w:eastAsia="仿宋" w:cs="仿宋"/>
          <w:b/>
          <w:color w:val="auto"/>
          <w:sz w:val="24"/>
          <w:szCs w:val="24"/>
        </w:rPr>
        <w:t>条  知识产权（若有）</w:t>
      </w:r>
      <w:bookmarkEnd w:id="22"/>
    </w:p>
    <w:p w14:paraId="454AB19B">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乙方应保证所提供的服务或其任何一部分均不会侵犯任何第三方的专利权、商标权或著作权。</w:t>
      </w:r>
    </w:p>
    <w:p w14:paraId="7BE7C356">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auto"/>
          <w:sz w:val="24"/>
          <w:szCs w:val="24"/>
        </w:rPr>
      </w:pPr>
      <w:bookmarkStart w:id="23" w:name="_Toc31647"/>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七</w:t>
      </w:r>
      <w:r>
        <w:rPr>
          <w:rFonts w:hint="eastAsia" w:ascii="仿宋" w:hAnsi="仿宋" w:eastAsia="仿宋" w:cs="仿宋"/>
          <w:b/>
          <w:color w:val="auto"/>
          <w:sz w:val="24"/>
          <w:szCs w:val="24"/>
        </w:rPr>
        <w:t>条  无产权瑕疵条款（如有）</w:t>
      </w:r>
      <w:bookmarkEnd w:id="23"/>
    </w:p>
    <w:p w14:paraId="5AE2D331">
      <w:pPr>
        <w:keepNext w:val="0"/>
        <w:keepLines w:val="0"/>
        <w:pageBreakBefore w:val="0"/>
        <w:widowControl/>
        <w:tabs>
          <w:tab w:val="left" w:pos="144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乙方保证所提供的服务的所有权完全属于乙方且无任何抵押、查封等产权瑕疵。如有产权瑕疵的，视为乙方违约。乙方应负担由此而产生的一切损失。</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26D92CF">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auto"/>
          <w:sz w:val="24"/>
          <w:szCs w:val="24"/>
        </w:rPr>
      </w:pPr>
      <w:bookmarkStart w:id="24" w:name="_Toc16162"/>
      <w:r>
        <w:rPr>
          <w:rFonts w:hint="eastAsia" w:ascii="仿宋" w:hAnsi="仿宋" w:eastAsia="仿宋" w:cs="仿宋"/>
          <w:b/>
          <w:color w:val="auto"/>
          <w:sz w:val="24"/>
          <w:szCs w:val="24"/>
        </w:rPr>
        <w:t>第八条  甲方的权利和义务</w:t>
      </w:r>
      <w:bookmarkEnd w:id="24"/>
    </w:p>
    <w:p w14:paraId="10880946">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0EB8B07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2.负责检查监督乙方管理工作的实施及制度的执行情况。</w:t>
      </w:r>
    </w:p>
    <w:p w14:paraId="5B4D8C4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3.根据本合同规定，按时向乙方支付应付服务费用。</w:t>
      </w:r>
    </w:p>
    <w:p w14:paraId="285991C5">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4.国家</w:t>
      </w:r>
      <w:r>
        <w:rPr>
          <w:rFonts w:hint="eastAsia" w:ascii="仿宋" w:hAnsi="仿宋" w:eastAsia="仿宋" w:cs="仿宋"/>
          <w:bCs/>
          <w:color w:val="auto"/>
          <w:sz w:val="24"/>
          <w:szCs w:val="24"/>
          <w:lang w:eastAsia="zh-CN"/>
        </w:rPr>
        <w:t>法律法规</w:t>
      </w:r>
      <w:r>
        <w:rPr>
          <w:rFonts w:hint="eastAsia" w:ascii="仿宋" w:hAnsi="仿宋" w:eastAsia="仿宋" w:cs="仿宋"/>
          <w:bCs/>
          <w:color w:val="auto"/>
          <w:sz w:val="24"/>
          <w:szCs w:val="24"/>
        </w:rPr>
        <w:t>所规定由甲方承担的</w:t>
      </w:r>
      <w:r>
        <w:rPr>
          <w:rFonts w:hint="eastAsia" w:ascii="仿宋" w:hAnsi="仿宋" w:eastAsia="仿宋" w:cs="仿宋"/>
          <w:bCs/>
          <w:color w:val="auto"/>
          <w:sz w:val="24"/>
          <w:szCs w:val="24"/>
          <w:lang w:eastAsia="zh-CN"/>
        </w:rPr>
        <w:t>其他</w:t>
      </w:r>
      <w:r>
        <w:rPr>
          <w:rFonts w:hint="eastAsia" w:ascii="仿宋" w:hAnsi="仿宋" w:eastAsia="仿宋" w:cs="仿宋"/>
          <w:bCs/>
          <w:color w:val="auto"/>
          <w:sz w:val="24"/>
          <w:szCs w:val="24"/>
        </w:rPr>
        <w:t>责任。</w:t>
      </w:r>
    </w:p>
    <w:p w14:paraId="20822C59">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auto"/>
          <w:sz w:val="24"/>
          <w:szCs w:val="24"/>
        </w:rPr>
      </w:pPr>
      <w:bookmarkStart w:id="25" w:name="_Toc27740"/>
      <w:r>
        <w:rPr>
          <w:rFonts w:hint="eastAsia" w:ascii="仿宋" w:hAnsi="仿宋" w:eastAsia="仿宋" w:cs="仿宋"/>
          <w:b/>
          <w:color w:val="auto"/>
          <w:sz w:val="24"/>
          <w:szCs w:val="24"/>
        </w:rPr>
        <w:t>第九条  乙方的权利和义务</w:t>
      </w:r>
      <w:bookmarkEnd w:id="25"/>
    </w:p>
    <w:p w14:paraId="590F7DD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1.对本合同规定的委托服务范围内的项目享有管理权及服务义务。</w:t>
      </w:r>
    </w:p>
    <w:p w14:paraId="597F47A4">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2.根据本合同的规定向甲方收取相关服务费用，并有权在本项目管理范围内管理及合理使用。</w:t>
      </w:r>
    </w:p>
    <w:p w14:paraId="4101A12C">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3.及时向甲方通告本项目服务范围内有关服务的重大事项，及时配合处理投诉。</w:t>
      </w:r>
    </w:p>
    <w:p w14:paraId="231DE59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color w:val="auto"/>
          <w:sz w:val="24"/>
          <w:szCs w:val="24"/>
        </w:rPr>
        <w:t>4.</w:t>
      </w:r>
      <w:r>
        <w:rPr>
          <w:rFonts w:hint="eastAsia" w:ascii="仿宋" w:hAnsi="仿宋" w:eastAsia="仿宋" w:cs="仿宋"/>
          <w:bCs/>
          <w:color w:val="auto"/>
          <w:sz w:val="24"/>
          <w:szCs w:val="24"/>
        </w:rPr>
        <w:t>接受项目行业管理部门及政府有关部门的指导，接受甲方的监督。</w:t>
      </w:r>
    </w:p>
    <w:p w14:paraId="3950BF93">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5.国家</w:t>
      </w:r>
      <w:r>
        <w:rPr>
          <w:rFonts w:hint="eastAsia" w:ascii="仿宋" w:hAnsi="仿宋" w:eastAsia="仿宋" w:cs="仿宋"/>
          <w:bCs/>
          <w:color w:val="auto"/>
          <w:sz w:val="24"/>
          <w:szCs w:val="24"/>
          <w:lang w:eastAsia="zh-CN"/>
        </w:rPr>
        <w:t>法律法规</w:t>
      </w:r>
      <w:r>
        <w:rPr>
          <w:rFonts w:hint="eastAsia" w:ascii="仿宋" w:hAnsi="仿宋" w:eastAsia="仿宋" w:cs="仿宋"/>
          <w:bCs/>
          <w:color w:val="auto"/>
          <w:sz w:val="24"/>
          <w:szCs w:val="24"/>
        </w:rPr>
        <w:t>所规定由乙方承担的</w:t>
      </w:r>
      <w:r>
        <w:rPr>
          <w:rFonts w:hint="eastAsia" w:ascii="仿宋" w:hAnsi="仿宋" w:eastAsia="仿宋" w:cs="仿宋"/>
          <w:bCs/>
          <w:color w:val="auto"/>
          <w:sz w:val="24"/>
          <w:szCs w:val="24"/>
          <w:lang w:eastAsia="zh-CN"/>
        </w:rPr>
        <w:t>其他</w:t>
      </w:r>
      <w:r>
        <w:rPr>
          <w:rFonts w:hint="eastAsia" w:ascii="仿宋" w:hAnsi="仿宋" w:eastAsia="仿宋" w:cs="仿宋"/>
          <w:bCs/>
          <w:color w:val="auto"/>
          <w:sz w:val="24"/>
          <w:szCs w:val="24"/>
        </w:rPr>
        <w:t>责任。</w:t>
      </w:r>
    </w:p>
    <w:p w14:paraId="5182B34F">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auto"/>
          <w:sz w:val="24"/>
          <w:szCs w:val="24"/>
        </w:rPr>
      </w:pPr>
      <w:bookmarkStart w:id="26" w:name="_Toc25988"/>
      <w:r>
        <w:rPr>
          <w:rFonts w:hint="eastAsia" w:ascii="仿宋" w:hAnsi="仿宋" w:eastAsia="仿宋" w:cs="仿宋"/>
          <w:b/>
          <w:color w:val="auto"/>
          <w:sz w:val="24"/>
          <w:szCs w:val="24"/>
        </w:rPr>
        <w:t>第十条  违约责任</w:t>
      </w:r>
      <w:bookmarkEnd w:id="26"/>
    </w:p>
    <w:p w14:paraId="5448655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1.甲乙双方必须遵守本合同并执行合同中的各项规定，保证本合同的正常履行。</w:t>
      </w:r>
    </w:p>
    <w:p w14:paraId="07A921E8">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bCs/>
          <w:color w:val="auto"/>
          <w:sz w:val="24"/>
          <w:szCs w:val="24"/>
        </w:rPr>
      </w:pPr>
      <w:r>
        <w:rPr>
          <w:rFonts w:hint="eastAsia" w:ascii="仿宋" w:hAnsi="仿宋" w:eastAsia="仿宋" w:cs="仿宋"/>
          <w:bCs/>
          <w:color w:val="auto"/>
          <w:sz w:val="24"/>
          <w:szCs w:val="24"/>
        </w:rPr>
        <w:t>2.如因乙方工作人员在履行职务过程中</w:t>
      </w:r>
      <w:r>
        <w:rPr>
          <w:rFonts w:hint="eastAsia" w:ascii="仿宋" w:hAnsi="仿宋" w:eastAsia="仿宋" w:cs="仿宋"/>
          <w:bCs/>
          <w:color w:val="auto"/>
          <w:sz w:val="24"/>
          <w:szCs w:val="24"/>
          <w:lang w:eastAsia="zh-CN"/>
        </w:rPr>
        <w:t>的</w:t>
      </w:r>
      <w:r>
        <w:rPr>
          <w:rFonts w:hint="eastAsia" w:ascii="仿宋" w:hAnsi="仿宋" w:eastAsia="仿宋" w:cs="仿宋"/>
          <w:bCs/>
          <w:color w:val="auto"/>
          <w:sz w:val="24"/>
          <w:szCs w:val="24"/>
        </w:rPr>
        <w:t>疏忽、失职、过错等故意或者过失原因给甲方造成损失或侵害，包括但不限于甲方本身的财产损失、由此而导致的甲方对任何第三方的法律责任等，乙方对此均应承担全部的赔偿责任。</w:t>
      </w:r>
    </w:p>
    <w:p w14:paraId="4302ABBD">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auto"/>
          <w:sz w:val="24"/>
          <w:szCs w:val="24"/>
        </w:rPr>
      </w:pPr>
      <w:bookmarkStart w:id="27" w:name="_Toc26448"/>
      <w:r>
        <w:rPr>
          <w:rFonts w:hint="eastAsia" w:ascii="仿宋" w:hAnsi="仿宋" w:eastAsia="仿宋" w:cs="仿宋"/>
          <w:b/>
          <w:color w:val="auto"/>
          <w:sz w:val="24"/>
          <w:szCs w:val="24"/>
        </w:rPr>
        <w:t>第十一条  不可抗力事件处理</w:t>
      </w:r>
      <w:bookmarkEnd w:id="27"/>
    </w:p>
    <w:p w14:paraId="42D37A55">
      <w:pPr>
        <w:keepNext w:val="0"/>
        <w:keepLines w:val="0"/>
        <w:pageBreakBefore w:val="0"/>
        <w:widowControl/>
        <w:tabs>
          <w:tab w:val="left" w:pos="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bookmarkStart w:id="28" w:name="_Toc237145411"/>
      <w:bookmarkStart w:id="29" w:name="_Toc238984980"/>
      <w:bookmarkStart w:id="30" w:name="_Toc225670756"/>
      <w:bookmarkStart w:id="31" w:name="_Toc239233919"/>
      <w:bookmarkStart w:id="32" w:name="_Toc241833908"/>
      <w:bookmarkStart w:id="33" w:name="_Toc211854454"/>
      <w:bookmarkStart w:id="34" w:name="_Toc212019599"/>
      <w:bookmarkStart w:id="35" w:name="_Toc225654649"/>
      <w:bookmarkStart w:id="36" w:name="_Toc286993792"/>
      <w:bookmarkStart w:id="37" w:name="_Toc211911353"/>
      <w:bookmarkStart w:id="38" w:name="_Toc232492933"/>
      <w:bookmarkStart w:id="39" w:name="_Toc251768867"/>
      <w:bookmarkStart w:id="40" w:name="_Toc225244857"/>
      <w:bookmarkStart w:id="41" w:name="_Toc239568423"/>
      <w:bookmarkStart w:id="42" w:name="_Toc247334846"/>
      <w:bookmarkStart w:id="43" w:name="_Toc185395254"/>
      <w:r>
        <w:rPr>
          <w:rFonts w:hint="eastAsia" w:ascii="仿宋" w:hAnsi="仿宋" w:eastAsia="仿宋" w:cs="仿宋"/>
          <w:color w:val="auto"/>
          <w:sz w:val="24"/>
          <w:szCs w:val="24"/>
        </w:rPr>
        <w:t>1.在合同有效期内，任何一方因不可抗力事件导致不能履行合同，则合同履行期可延长，其延长期与不可抗力影响期相同。</w:t>
      </w:r>
    </w:p>
    <w:p w14:paraId="435A2AD2">
      <w:pPr>
        <w:keepNext w:val="0"/>
        <w:keepLines w:val="0"/>
        <w:pageBreakBefore w:val="0"/>
        <w:widowControl/>
        <w:tabs>
          <w:tab w:val="left" w:pos="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2.不可抗力事件发生后，应立即通知对方，并寄送有关权威机构出具的证明。</w:t>
      </w:r>
    </w:p>
    <w:p w14:paraId="19B02FDD">
      <w:pPr>
        <w:keepNext w:val="0"/>
        <w:keepLines w:val="0"/>
        <w:pageBreakBefore w:val="0"/>
        <w:widowControl/>
        <w:tabs>
          <w:tab w:val="left" w:pos="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3.不可抗力事件延续</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天以上，双方应通过友好协商，确定是否继续履行合同。</w:t>
      </w:r>
    </w:p>
    <w:p w14:paraId="07309919">
      <w:pPr>
        <w:keepNext w:val="0"/>
        <w:keepLines w:val="0"/>
        <w:pageBreakBefore w:val="0"/>
        <w:widowControl/>
        <w:wordWrap/>
        <w:overflowPunct/>
        <w:topLinePunct w:val="0"/>
        <w:bidi w:val="0"/>
        <w:adjustRightInd w:val="0"/>
        <w:snapToGrid w:val="0"/>
        <w:spacing w:before="120" w:beforeLines="50" w:after="120" w:afterLines="50" w:line="360" w:lineRule="auto"/>
        <w:ind w:firstLine="482" w:firstLineChars="200"/>
        <w:jc w:val="left"/>
        <w:textAlignment w:val="baseline"/>
        <w:outlineLvl w:val="1"/>
        <w:rPr>
          <w:rFonts w:hint="eastAsia" w:ascii="仿宋" w:hAnsi="仿宋" w:eastAsia="仿宋" w:cs="仿宋"/>
          <w:color w:val="auto"/>
          <w:kern w:val="0"/>
          <w:sz w:val="24"/>
          <w:szCs w:val="24"/>
        </w:rPr>
      </w:pPr>
      <w:bookmarkStart w:id="44" w:name="_Toc20448"/>
      <w:r>
        <w:rPr>
          <w:rFonts w:hint="eastAsia" w:ascii="仿宋" w:hAnsi="仿宋" w:eastAsia="仿宋" w:cs="仿宋"/>
          <w:b/>
          <w:color w:val="auto"/>
          <w:sz w:val="24"/>
          <w:szCs w:val="24"/>
        </w:rPr>
        <w:t xml:space="preserve">第十二条  </w:t>
      </w:r>
      <w:r>
        <w:rPr>
          <w:rFonts w:hint="eastAsia" w:ascii="仿宋" w:hAnsi="仿宋" w:eastAsia="仿宋" w:cs="仿宋"/>
          <w:b/>
          <w:color w:val="auto"/>
          <w:kern w:val="0"/>
          <w:sz w:val="24"/>
          <w:szCs w:val="24"/>
        </w:rPr>
        <w:t>合同的变更和终止</w:t>
      </w:r>
      <w:bookmarkEnd w:id="44"/>
    </w:p>
    <w:p w14:paraId="3365F892">
      <w:pPr>
        <w:keepNext w:val="0"/>
        <w:keepLines w:val="0"/>
        <w:pageBreakBefore w:val="0"/>
        <w:widowControl/>
        <w:wordWrap/>
        <w:overflowPunct/>
        <w:topLinePunct w:val="0"/>
        <w:bidi w:val="0"/>
        <w:adjustRightInd w:val="0"/>
        <w:snapToGrid w:val="0"/>
        <w:spacing w:line="360" w:lineRule="auto"/>
        <w:ind w:firstLine="480" w:firstLineChars="200"/>
        <w:jc w:val="left"/>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除《中华人民共和国政府采购法》第49条、第50条第二款规定的情形外，本合同一经签订，甲乙双方不得擅自变更、中止或终止合同。</w:t>
      </w:r>
    </w:p>
    <w:p w14:paraId="20845CE4">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auto"/>
          <w:sz w:val="24"/>
          <w:szCs w:val="24"/>
        </w:rPr>
      </w:pPr>
      <w:bookmarkStart w:id="45" w:name="_Toc32004"/>
      <w:r>
        <w:rPr>
          <w:rFonts w:hint="eastAsia" w:ascii="仿宋" w:hAnsi="仿宋" w:eastAsia="仿宋" w:cs="仿宋"/>
          <w:b/>
          <w:color w:val="auto"/>
          <w:sz w:val="24"/>
          <w:szCs w:val="24"/>
        </w:rPr>
        <w:t>第十三条  解决合同纠纷的方式</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5"/>
    </w:p>
    <w:p w14:paraId="5E1FF702">
      <w:pPr>
        <w:pStyle w:val="8"/>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auto"/>
          <w:kern w:val="0"/>
          <w:sz w:val="24"/>
          <w:szCs w:val="24"/>
        </w:rPr>
      </w:pPr>
      <w:r>
        <w:rPr>
          <w:rFonts w:hint="eastAsia" w:ascii="仿宋" w:hAnsi="仿宋" w:eastAsia="仿宋" w:cs="仿宋"/>
          <w:color w:val="auto"/>
          <w:sz w:val="24"/>
          <w:szCs w:val="24"/>
        </w:rPr>
        <w:t>1、在执行本合同中发生的或与本合同有关的争端，双方应通过友好协商解决，经协商在</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天内不能达成协议时，</w:t>
      </w:r>
      <w:r>
        <w:rPr>
          <w:rFonts w:hint="eastAsia" w:ascii="仿宋" w:hAnsi="仿宋" w:eastAsia="仿宋" w:cs="仿宋"/>
          <w:color w:val="auto"/>
          <w:kern w:val="0"/>
          <w:sz w:val="24"/>
          <w:szCs w:val="24"/>
        </w:rPr>
        <w:t>则采取以下第</w:t>
      </w:r>
      <w:r>
        <w:rPr>
          <w:rFonts w:hint="eastAsia" w:ascii="仿宋" w:hAnsi="仿宋" w:eastAsia="仿宋" w:cs="仿宋"/>
          <w:color w:val="auto"/>
          <w:kern w:val="0"/>
          <w:sz w:val="24"/>
          <w:szCs w:val="24"/>
          <w:u w:val="single"/>
        </w:rPr>
        <w:t xml:space="preserve"> 1 </w:t>
      </w:r>
      <w:r>
        <w:rPr>
          <w:rFonts w:hint="eastAsia" w:ascii="仿宋" w:hAnsi="仿宋" w:eastAsia="仿宋" w:cs="仿宋"/>
          <w:color w:val="auto"/>
          <w:kern w:val="0"/>
          <w:sz w:val="24"/>
          <w:szCs w:val="24"/>
        </w:rPr>
        <w:t>种方式解决争议：</w:t>
      </w:r>
    </w:p>
    <w:p w14:paraId="369C3C95">
      <w:pPr>
        <w:pStyle w:val="8"/>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（1）向甲方所在地有管辖权的人民法院提起诉讼；</w:t>
      </w:r>
    </w:p>
    <w:p w14:paraId="76C5A98A">
      <w:pPr>
        <w:pStyle w:val="8"/>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（2）向</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仲裁委员会按其仲裁规则申请仲裁。</w:t>
      </w:r>
    </w:p>
    <w:p w14:paraId="7BE2AB0B">
      <w:pPr>
        <w:keepNext w:val="0"/>
        <w:keepLines w:val="0"/>
        <w:pageBreakBefore w:val="0"/>
        <w:widowControl/>
        <w:tabs>
          <w:tab w:val="left" w:pos="0"/>
        </w:tabs>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kern w:val="0"/>
          <w:sz w:val="24"/>
          <w:szCs w:val="24"/>
        </w:rPr>
        <w:t>2、在仲裁期间，本合同应继续履行。</w:t>
      </w:r>
    </w:p>
    <w:p w14:paraId="6768381E">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仿宋" w:hAnsi="仿宋" w:eastAsia="仿宋" w:cs="仿宋"/>
          <w:b/>
          <w:color w:val="auto"/>
          <w:sz w:val="24"/>
          <w:szCs w:val="24"/>
        </w:rPr>
      </w:pPr>
      <w:bookmarkStart w:id="46" w:name="_Toc239233920"/>
      <w:bookmarkStart w:id="47" w:name="_Toc251768868"/>
      <w:bookmarkStart w:id="48" w:name="_Toc238984981"/>
      <w:bookmarkStart w:id="49" w:name="_Toc286993793"/>
      <w:bookmarkStart w:id="50" w:name="_Toc282696231"/>
      <w:bookmarkStart w:id="51" w:name="_Toc241833909"/>
      <w:bookmarkStart w:id="52" w:name="_Toc212019600"/>
      <w:bookmarkStart w:id="53" w:name="_Toc247334847"/>
      <w:bookmarkStart w:id="54" w:name="_Toc225654650"/>
      <w:bookmarkStart w:id="55" w:name="_Toc239568424"/>
      <w:bookmarkStart w:id="56" w:name="_Toc211911354"/>
      <w:bookmarkStart w:id="57" w:name="_Toc185395255"/>
      <w:bookmarkStart w:id="58" w:name="_Toc211854455"/>
      <w:bookmarkStart w:id="59" w:name="_Toc237145412"/>
      <w:bookmarkStart w:id="60" w:name="_Toc225244858"/>
      <w:bookmarkStart w:id="61" w:name="_Toc225670757"/>
      <w:bookmarkStart w:id="62" w:name="_Toc232492934"/>
      <w:bookmarkStart w:id="63" w:name="_Toc283019219"/>
      <w:bookmarkStart w:id="64" w:name="_Toc28433"/>
      <w:r>
        <w:rPr>
          <w:rFonts w:hint="eastAsia" w:ascii="仿宋" w:hAnsi="仿宋" w:eastAsia="仿宋" w:cs="仿宋"/>
          <w:b/>
          <w:color w:val="auto"/>
          <w:sz w:val="24"/>
          <w:szCs w:val="24"/>
        </w:rPr>
        <w:t>第十四条  合同</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hint="eastAsia" w:ascii="仿宋" w:hAnsi="仿宋" w:eastAsia="仿宋" w:cs="仿宋"/>
          <w:b/>
          <w:color w:val="auto"/>
          <w:sz w:val="24"/>
          <w:szCs w:val="24"/>
        </w:rPr>
        <w:t>生效及其他</w:t>
      </w:r>
      <w:bookmarkEnd w:id="64"/>
    </w:p>
    <w:p w14:paraId="411B8FD6">
      <w:pPr>
        <w:pStyle w:val="9"/>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1、合同经双方法定代表人（单位负责人）或授权委托代理人签字并加盖单位公章后生效。</w:t>
      </w:r>
    </w:p>
    <w:p w14:paraId="7B628D35">
      <w:pPr>
        <w:pStyle w:val="9"/>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2、合同执行中涉及采购资金和采购内容修改或补充的，须经政府采购监管部门审批，并</w:t>
      </w:r>
      <w:r>
        <w:rPr>
          <w:rFonts w:hint="eastAsia" w:ascii="仿宋" w:hAnsi="仿宋" w:eastAsia="仿宋" w:cs="仿宋"/>
          <w:color w:val="auto"/>
          <w:sz w:val="24"/>
          <w:szCs w:val="24"/>
          <w:lang w:eastAsia="zh-CN"/>
        </w:rPr>
        <w:t>签订</w:t>
      </w:r>
      <w:r>
        <w:rPr>
          <w:rFonts w:hint="eastAsia" w:ascii="仿宋" w:hAnsi="仿宋" w:eastAsia="仿宋" w:cs="仿宋"/>
          <w:color w:val="auto"/>
          <w:sz w:val="24"/>
          <w:szCs w:val="24"/>
        </w:rPr>
        <w:t>书面补充协议报政府采购监督管理部门备案，方可作为主合同不可分割的一部分。</w:t>
      </w:r>
    </w:p>
    <w:p w14:paraId="52BBA38F">
      <w:pPr>
        <w:pStyle w:val="9"/>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份，自双方签章之日起</w:t>
      </w:r>
      <w:r>
        <w:rPr>
          <w:rFonts w:hint="eastAsia" w:ascii="仿宋" w:hAnsi="仿宋" w:eastAsia="仿宋" w:cs="仿宋"/>
          <w:color w:val="auto"/>
          <w:sz w:val="24"/>
          <w:szCs w:val="24"/>
          <w:highlight w:val="none"/>
          <w:lang w:eastAsia="zh-CN"/>
        </w:rPr>
        <w:t>生效</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份，具有同等法律效力。</w:t>
      </w:r>
    </w:p>
    <w:p w14:paraId="485969AD">
      <w:pPr>
        <w:pStyle w:val="2"/>
        <w:keepNext w:val="0"/>
        <w:keepLines w:val="0"/>
        <w:pageBreakBefore w:val="0"/>
        <w:widowControl/>
        <w:wordWrap/>
        <w:overflowPunct/>
        <w:topLinePunct w:val="0"/>
        <w:bidi w:val="0"/>
        <w:adjustRightInd w:val="0"/>
        <w:snapToGrid w:val="0"/>
        <w:spacing w:line="360" w:lineRule="auto"/>
        <w:textAlignment w:val="baseline"/>
        <w:rPr>
          <w:rFonts w:hint="eastAsia" w:ascii="仿宋" w:hAnsi="仿宋" w:eastAsia="仿宋" w:cs="仿宋"/>
          <w:color w:val="auto"/>
          <w:sz w:val="24"/>
          <w:szCs w:val="24"/>
        </w:rPr>
      </w:pPr>
    </w:p>
    <w:p w14:paraId="6309950E">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 xml:space="preserve">：   （盖章）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乙方</w:t>
      </w:r>
      <w:r>
        <w:rPr>
          <w:rFonts w:hint="eastAsia" w:ascii="仿宋" w:hAnsi="仿宋" w:eastAsia="仿宋" w:cs="仿宋"/>
          <w:color w:val="auto"/>
          <w:sz w:val="24"/>
          <w:szCs w:val="24"/>
        </w:rPr>
        <w:t>：   （盖章）</w:t>
      </w:r>
    </w:p>
    <w:p w14:paraId="2EDFBCF2">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 xml:space="preserve">法定代表人：（单位负责人）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法定代表人：（单位负责人）</w:t>
      </w:r>
    </w:p>
    <w:p w14:paraId="194021AF">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地    址：                           地    址：</w:t>
      </w:r>
    </w:p>
    <w:p w14:paraId="117CB7EA">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开户银行：                           开户银行：</w:t>
      </w:r>
    </w:p>
    <w:p w14:paraId="0AE409EC">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账号：                               账号：</w:t>
      </w:r>
    </w:p>
    <w:p w14:paraId="72E562E9">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电    话：                           电    话：</w:t>
      </w:r>
    </w:p>
    <w:p w14:paraId="13115B7F">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传    真：                           传    真：</w:t>
      </w:r>
    </w:p>
    <w:p w14:paraId="12540BA6">
      <w:pPr>
        <w:keepNext w:val="0"/>
        <w:keepLines w:val="0"/>
        <w:pageBreakBefore w:val="0"/>
        <w:widowControl/>
        <w:wordWrap/>
        <w:overflowPunct/>
        <w:topLinePunct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 xml:space="preserve">签约日期：  年  月  日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签约日期：  年  月  日</w:t>
      </w:r>
    </w:p>
    <w:p w14:paraId="022F100A">
      <w:pPr>
        <w:rPr>
          <w:rFonts w:hint="eastAsia" w:ascii="仿宋" w:hAnsi="仿宋" w:eastAsia="仿宋" w:cs="仿宋"/>
        </w:rPr>
      </w:pPr>
    </w:p>
    <w:p w14:paraId="0DEF1878">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71201">
    <w:pPr>
      <w:tabs>
        <w:tab w:val="center" w:pos="4153"/>
        <w:tab w:val="right" w:pos="8306"/>
      </w:tabs>
      <w:snapToGrid w:val="0"/>
      <w:ind w:right="360"/>
      <w:jc w:val="righ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61A6605">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w:t xml:space="preserve">第 </w:t>
                          </w:r>
                          <w:r>
                            <w:rPr>
                              <w:rFonts w:ascii="Times New Roman" w:hAnsi="Times New Roman" w:eastAsia="宋体" w:cs="Times New Roman"/>
                              <w:kern w:val="2"/>
                              <w:sz w:val="18"/>
                              <w:lang w:val="en-US" w:eastAsia="zh-CN" w:bidi="ar-SA"/>
                            </w:rPr>
                            <w:fldChar w:fldCharType="begin"/>
                          </w:r>
                          <w:r>
                            <w:rPr>
                              <w:rFonts w:ascii="Times New Roman" w:hAnsi="Times New Roman" w:eastAsia="宋体" w:cs="Times New Roman"/>
                              <w:kern w:val="2"/>
                              <w:sz w:val="18"/>
                              <w:lang w:val="en-US" w:eastAsia="zh-CN" w:bidi="ar-SA"/>
                            </w:rPr>
                            <w:instrText xml:space="preserve"> PAGE  \* MERGEFORMAT </w:instrText>
                          </w:r>
                          <w:r>
                            <w:rPr>
                              <w:rFonts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3</w:t>
                          </w:r>
                          <w:r>
                            <w:rPr>
                              <w:rFonts w:ascii="Times New Roman" w:hAnsi="Times New Roman" w:eastAsia="宋体" w:cs="Times New Roman"/>
                              <w:kern w:val="2"/>
                              <w:sz w:val="18"/>
                              <w:lang w:val="en-US" w:eastAsia="zh-CN" w:bidi="ar-SA"/>
                            </w:rPr>
                            <w:fldChar w:fldCharType="end"/>
                          </w:r>
                          <w:r>
                            <w:rPr>
                              <w:rFonts w:ascii="Times New Roman" w:hAnsi="Times New Roman" w:eastAsia="宋体" w:cs="Times New Roman"/>
                              <w:kern w:val="2"/>
                              <w:sz w:val="18"/>
                              <w:lang w:val="en-US" w:eastAsia="zh-CN" w:bidi="ar-S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161A6605">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w:t xml:space="preserve">第 </w:t>
                    </w:r>
                    <w:r>
                      <w:rPr>
                        <w:rFonts w:ascii="Times New Roman" w:hAnsi="Times New Roman" w:eastAsia="宋体" w:cs="Times New Roman"/>
                        <w:kern w:val="2"/>
                        <w:sz w:val="18"/>
                        <w:lang w:val="en-US" w:eastAsia="zh-CN" w:bidi="ar-SA"/>
                      </w:rPr>
                      <w:fldChar w:fldCharType="begin"/>
                    </w:r>
                    <w:r>
                      <w:rPr>
                        <w:rFonts w:ascii="Times New Roman" w:hAnsi="Times New Roman" w:eastAsia="宋体" w:cs="Times New Roman"/>
                        <w:kern w:val="2"/>
                        <w:sz w:val="18"/>
                        <w:lang w:val="en-US" w:eastAsia="zh-CN" w:bidi="ar-SA"/>
                      </w:rPr>
                      <w:instrText xml:space="preserve"> PAGE  \* MERGEFORMAT </w:instrText>
                    </w:r>
                    <w:r>
                      <w:rPr>
                        <w:rFonts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t>3</w:t>
                    </w:r>
                    <w:r>
                      <w:rPr>
                        <w:rFonts w:ascii="Times New Roman" w:hAnsi="Times New Roman" w:eastAsia="宋体" w:cs="Times New Roman"/>
                        <w:kern w:val="2"/>
                        <w:sz w:val="18"/>
                        <w:lang w:val="en-US" w:eastAsia="zh-CN" w:bidi="ar-SA"/>
                      </w:rPr>
                      <w:fldChar w:fldCharType="end"/>
                    </w:r>
                    <w:r>
                      <w:rPr>
                        <w:rFonts w:ascii="Times New Roman" w:hAnsi="Times New Roman" w:eastAsia="宋体" w:cs="Times New Roman"/>
                        <w:kern w:val="2"/>
                        <w:sz w:val="18"/>
                        <w:lang w:val="en-US" w:eastAsia="zh-CN" w:bidi="ar-SA"/>
                      </w:rPr>
                      <w:t xml:space="preserve"> 页</w:t>
                    </w:r>
                  </w:p>
                </w:txbxContent>
              </v:textbox>
            </v:shape>
          </w:pict>
        </mc:Fallback>
      </mc:AlternateContent>
    </w:r>
    <w:r>
      <w:rPr>
        <w:rFonts w:ascii="Times New Roman" w:hAnsi="Times New Roman"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4A6FE04">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p>
                        <w:p w14:paraId="519AA182">
                          <w:pPr>
                            <w:widowControl/>
                            <w:textAlignment w:val="baseline"/>
                            <w:rPr>
                              <w:rFonts w:ascii="Times New Roman" w:hAnsi="Times New Roman" w:eastAsia="宋体" w:cs="Times New Roman"/>
                              <w:szCs w:val="20"/>
                            </w:rPr>
                          </w:pPr>
                        </w:p>
                      </w:txbxContent>
                    </wps:txbx>
                    <wps:bodyPr lIns="0" tIns="0" rIns="0" bIns="0" upright="1"/>
                  </wps:wsp>
                </a:graphicData>
              </a:graphic>
            </wp:anchor>
          </w:drawing>
        </mc:Choice>
        <mc:Fallback>
          <w:pict>
            <v:shape id="_x0000_s1026"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Z&#10;pPZA0gAAAAUBAAAPAAAAAAAAAAEAIAAAACIAAABkcnMvZG93bnJldi54bWxQSwECFAAUAAAACACH&#10;TuJAttE7iLgBAACBAwAADgAAAAAAAAABACAAAAAhAQAAZHJzL2Uyb0RvYy54bWxQSwUGAAAAAAYA&#10;BgBZAQAASwUAAAAA&#10;">
              <v:fill on="f" focussize="0,0"/>
              <v:stroke on="f"/>
              <v:imagedata o:title=""/>
              <o:lock v:ext="edit" aspectratio="f"/>
              <v:textbox inset="0mm,0mm,0mm,0mm">
                <w:txbxContent>
                  <w:p w14:paraId="24A6FE04">
                    <w:pPr>
                      <w:tabs>
                        <w:tab w:val="center" w:pos="4153"/>
                        <w:tab w:val="right" w:pos="8306"/>
                      </w:tabs>
                      <w:snapToGrid w:val="0"/>
                      <w:jc w:val="left"/>
                      <w:textAlignment w:val="baseline"/>
                      <w:rPr>
                        <w:rFonts w:ascii="Times New Roman" w:hAnsi="Times New Roman" w:eastAsia="宋体" w:cs="Times New Roman"/>
                        <w:kern w:val="2"/>
                        <w:sz w:val="18"/>
                        <w:lang w:val="en-US" w:eastAsia="zh-CN" w:bidi="ar-SA"/>
                      </w:rPr>
                    </w:pPr>
                  </w:p>
                  <w:p w14:paraId="519AA182">
                    <w:pPr>
                      <w:widowControl/>
                      <w:textAlignment w:val="baseline"/>
                      <w:rPr>
                        <w:rFonts w:ascii="Times New Roman" w:hAnsi="Times New Roman" w:eastAsia="宋体" w:cs="Times New Roman"/>
                        <w:szCs w:val="20"/>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A24039"/>
    <w:rsid w:val="03E20A42"/>
    <w:rsid w:val="06826B71"/>
    <w:rsid w:val="0FC607AC"/>
    <w:rsid w:val="17BE7935"/>
    <w:rsid w:val="1C1A6F52"/>
    <w:rsid w:val="1CFF2872"/>
    <w:rsid w:val="282B09BF"/>
    <w:rsid w:val="338B0713"/>
    <w:rsid w:val="37A24039"/>
    <w:rsid w:val="4BBB58FC"/>
    <w:rsid w:val="4FB36A0A"/>
    <w:rsid w:val="52C75604"/>
    <w:rsid w:val="56C87BF5"/>
    <w:rsid w:val="5DB03CA0"/>
    <w:rsid w:val="6A234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style>
  <w:style w:type="paragraph" w:styleId="3">
    <w:name w:val="footer"/>
    <w:basedOn w:val="1"/>
    <w:qFormat/>
    <w:uiPriority w:val="0"/>
    <w:pPr>
      <w:widowControl/>
      <w:tabs>
        <w:tab w:val="center" w:pos="4153"/>
        <w:tab w:val="right" w:pos="8306"/>
      </w:tabs>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18"/>
      <w:szCs w:val="21"/>
      <w:lang w:eastAsia="en-US"/>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首行缩进:  2 字符"/>
    <w:basedOn w:val="1"/>
    <w:qFormat/>
    <w:uiPriority w:val="0"/>
    <w:pPr>
      <w:widowControl/>
      <w:kinsoku w:val="0"/>
      <w:autoSpaceDE w:val="0"/>
      <w:autoSpaceDN w:val="0"/>
      <w:adjustRightInd w:val="0"/>
      <w:snapToGrid w:val="0"/>
      <w:spacing w:line="400" w:lineRule="exact"/>
      <w:ind w:firstLine="200" w:firstLineChars="200"/>
      <w:jc w:val="left"/>
      <w:textAlignment w:val="baseline"/>
    </w:pPr>
    <w:rPr>
      <w:rFonts w:ascii="Arial" w:hAnsi="Arial" w:eastAsia="Arial" w:cs="宋体"/>
      <w:snapToGrid w:val="0"/>
      <w:color w:val="000000"/>
      <w:kern w:val="0"/>
      <w:sz w:val="24"/>
      <w:szCs w:val="21"/>
      <w:lang w:eastAsia="en-US"/>
    </w:rPr>
  </w:style>
  <w:style w:type="paragraph" w:styleId="9">
    <w:name w:val="List Paragraph"/>
    <w:basedOn w:val="1"/>
    <w:qFormat/>
    <w:uiPriority w:val="0"/>
    <w:pPr>
      <w:widowControl/>
      <w:kinsoku w:val="0"/>
      <w:autoSpaceDE w:val="0"/>
      <w:autoSpaceDN w:val="0"/>
      <w:adjustRightInd w:val="0"/>
      <w:snapToGrid w:val="0"/>
      <w:spacing w:line="240" w:lineRule="auto"/>
      <w:ind w:firstLine="420" w:firstLineChars="200"/>
      <w:jc w:val="left"/>
      <w:textAlignment w:val="baseline"/>
    </w:pPr>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3851</Words>
  <Characters>3951</Characters>
  <Lines>0</Lines>
  <Paragraphs>0</Paragraphs>
  <TotalTime>2</TotalTime>
  <ScaleCrop>false</ScaleCrop>
  <LinksUpToDate>false</LinksUpToDate>
  <CharactersWithSpaces>4453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2025-12-09T06:18:00Z</dcterms:created>
  <dc:creator>可儿✨可心</dc:creator>
  <cp:lastModifiedBy>WPS_1710749217</cp:lastModifiedBy>
  <dcterms:modified xsi:type="dcterms:W3CDTF">2026-01-30T10:19:18Z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465B25E6761A482EBDADEB753332D332_11</vt:lpwstr>
  </property>
  <property fmtid="{D5CDD505-2E9C-101B-9397-08002B2CF9AE}" pid="4" name="KSOTemplateDocerSaveRecord">
    <vt:lpwstr>eyJoZGlkIjoiNjMwNDk1NGM4OTUzOTcyYmMxNzg3ZTlhNWMxNmJhNjAiLCJ1c2VySWQiOiIxNTg3MTU2NTg1In0=</vt:lpwstr>
  </property>
</Properties>
</file>