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版本号：YSGS-2026ZB012520260313001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灞桥区堤防水毁修复项目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YSGS-2026ZB0125</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灞桥区堤防水毁修复项目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YSGS-2026ZB0125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灞桥区堤防水毁修复项目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灞桥区堤防水毁修复项目：本工程针对上游10#液压坝与下游16#液压坝坝体工程恢复，作业范围涵盖两座液压坝坝体前淤积区、库区主河道及周边滩地，重点清除长期累积的泥沙、杂物及底泥污染物，全面恢复两座坝体的正常运行功能与库区行洪、蓄水能力。总工期2个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登记注册证：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告：两种形式任选一种，提供2024年度或2025年度经审计的财务报告（成立时间至提交响应文件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w:t>
      </w:r>
    </w:p>
    <w:p>
      <w:pPr>
        <w:pStyle w:val="null3"/>
      </w:pPr>
      <w:r>
        <w:rPr>
          <w:rFonts w:ascii="仿宋_GB2312" w:hAnsi="仿宋_GB2312" w:cs="仿宋_GB2312" w:eastAsia="仿宋_GB2312"/>
        </w:rPr>
        <w:t>3、税收缴纳证明：提供2025年10月至今已缴纳的至少一个月的纳税证明或完税证明，依法免税的单位应提供相关证明材料。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5、具有履行合同所必须的设备和专业技术能力的承诺：提供具有履行合同所必需的设备和专业技术能力的承诺。</w:t>
      </w:r>
    </w:p>
    <w:p>
      <w:pPr>
        <w:pStyle w:val="null3"/>
      </w:pPr>
      <w:r>
        <w:rPr>
          <w:rFonts w:ascii="仿宋_GB2312" w:hAnsi="仿宋_GB2312" w:cs="仿宋_GB2312" w:eastAsia="仿宋_GB2312"/>
        </w:rPr>
        <w:t>6、法定代表人(主要责任人)委托授权书/身份证明：法定代表人授权书(附法定代表人、被授权人身份证复印件)及被授权人身份证(法定代表人直接参加磋商，须提供法定代表人身份证明及身份证原件)。</w:t>
      </w:r>
    </w:p>
    <w:p>
      <w:pPr>
        <w:pStyle w:val="null3"/>
      </w:pPr>
      <w:r>
        <w:rPr>
          <w:rFonts w:ascii="仿宋_GB2312" w:hAnsi="仿宋_GB2312" w:cs="仿宋_GB2312" w:eastAsia="仿宋_GB2312"/>
        </w:rPr>
        <w:t>7、无重大违法记录的书面声明：出具参加政府采购活动前3年内在经营活动中没有重大违法记录的书面声明。</w:t>
      </w:r>
    </w:p>
    <w:p>
      <w:pPr>
        <w:pStyle w:val="null3"/>
      </w:pPr>
      <w:r>
        <w:rPr>
          <w:rFonts w:ascii="仿宋_GB2312" w:hAnsi="仿宋_GB2312" w:cs="仿宋_GB2312" w:eastAsia="仿宋_GB2312"/>
        </w:rPr>
        <w:t>8、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磋商当天代理公司核查为准，供应商无需提供)。</w:t>
      </w:r>
    </w:p>
    <w:p>
      <w:pPr>
        <w:pStyle w:val="null3"/>
      </w:pPr>
      <w:r>
        <w:rPr>
          <w:rFonts w:ascii="仿宋_GB2312" w:hAnsi="仿宋_GB2312" w:cs="仿宋_GB2312" w:eastAsia="仿宋_GB2312"/>
        </w:rPr>
        <w:t>9、资质要求：供应商须具备水利水电工程施工总承包三级及以上资质，具备有效的安全生产许可证。</w:t>
      </w:r>
    </w:p>
    <w:p>
      <w:pPr>
        <w:pStyle w:val="null3"/>
      </w:pPr>
      <w:r>
        <w:rPr>
          <w:rFonts w:ascii="仿宋_GB2312" w:hAnsi="仿宋_GB2312" w:cs="仿宋_GB2312" w:eastAsia="仿宋_GB2312"/>
        </w:rPr>
        <w:t>10、拟派项目负责人资质及专业要求：拟派项目负责人须具备水利水电工程专业二级及以上注册建造师资格，同时具备有效的安全生产考核合格证书（B证），且无在建项目(提供无在建工程承诺书)。</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关雨杰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15353687796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张乐、刘敏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13259952916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采购包1：910,772.00元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委托人与受托人约定：中标（成交）服务费参照《国家计委关于印发，《招标代理服务收费管理暂行办法》的通知》（计价格【2002】1980号）及《国家发展和改革委员会办公厅关于招标代理服务收费有关问题的通知》（发改办价格〔2003〕857号）文件中工程类收费标准收取，由中标（成交）供应商向受托人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联系人：张乐、刘敏</w:t>
      </w:r>
    </w:p>
    <w:p>
      <w:pPr>
        <w:pStyle w:val="null3"/>
      </w:pPr>
      <w:r>
        <w:rPr>
          <w:rFonts w:ascii="仿宋_GB2312" w:hAnsi="仿宋_GB2312" w:cs="仿宋_GB2312" w:eastAsia="仿宋_GB2312"/>
        </w:rPr>
        <w:t>联系电话：029-68325822</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910,772.00</w:t>
      </w:r>
    </w:p>
    <w:p>
      <w:pPr>
        <w:pStyle w:val="null3"/>
      </w:pPr>
      <w:r>
        <w:rPr>
          <w:rFonts w:ascii="仿宋_GB2312" w:hAnsi="仿宋_GB2312" w:cs="仿宋_GB2312" w:eastAsia="仿宋_GB2312"/>
        </w:rPr>
        <w:t>采购包最高限价（元）: 910,772.00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灞桥区堤防水毁修复项目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910,772.00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标的名称：灞桥区堤防水毁修复项目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灞桥区堤防水毁修复项目：本工程针对上游10#液压坝与下游16#液压坝坝体工程恢复，作业范围涵盖两座液压坝坝体前淤积区、库区主河道及周边滩地，重点清除长期累积的泥沙、杂物及底泥污染物，全面恢复两座坝体的正常运行功能与库区行洪、蓄水能力。总工期2个月。</w:t>
            </w:r>
          </w:p>
          <w:p>
            <w:pPr>
              <w:pStyle w:val="null3"/>
            </w:pPr>
            <w:r>
              <w:rPr>
                <w:rFonts w:ascii="仿宋_GB2312" w:hAnsi="仿宋_GB2312" w:cs="仿宋_GB2312" w:eastAsia="仿宋_GB2312"/>
              </w:rPr>
              <w:t>二、施工要求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在施工期间，中标供应商必须注意人员安全，加强安全措施，并对施工人员进行安全教育。施工人员必须持证上岗。因采购人工作的特殊性，要求中标供应商在施工中做到封闭性施工。</w:t>
            </w:r>
          </w:p>
          <w:p>
            <w:pPr>
              <w:pStyle w:val="null3"/>
            </w:pPr>
            <w:r>
              <w:rPr>
                <w:rFonts w:ascii="仿宋_GB2312" w:hAnsi="仿宋_GB2312" w:cs="仿宋_GB2312" w:eastAsia="仿宋_GB2312"/>
              </w:rPr>
              <w:t>三、工程量清单</w:t>
            </w:r>
          </w:p>
          <w:p>
            <w:pPr>
              <w:pStyle w:val="null3"/>
            </w:pPr>
            <w:r>
              <w:rPr>
                <w:rFonts w:ascii="仿宋_GB2312" w:hAnsi="仿宋_GB2312" w:cs="仿宋_GB2312" w:eastAsia="仿宋_GB2312"/>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1、本工程采用本项目采用天宇ｅ算水利水电工程概预算系统V1.2.2（西安市招投标）； 2、最高限价编制依据：（1）《灞桥区堤防水毁修复项目初步设计》；（2）依据《关于发布《陕西省水利工程设计概(估)算编制规定》《陕西省水利建筑工程概算定额》 （2024 年修正）等计价依据的通知》（陕水规计发〔2024〕107 号），《编规》和《系列定额》（2024 年修正）、《陕西省水利建筑工程预算定额》、《陕西省水利设备安装工程预算定额》、《陕西省水利工程施工机械台班费定额》的通知”、“陕西省水利水电工程营业税改增值税计价依据调整办法(办水总[2016]132)”、“水利部办公厅关于调整水利工程计价依据增值税计算标准的通知(办财务函(2019)448号)”等现行水利水电工程的计价依据。（3）材料价格采用工程所在地2025年第四季度价格水平及结合市场价； 3、临时工程中包含施工安全生产专项、其他施工临时工程费等费用，施工安全生产专项费用按2.5%计入，其他施工临时工程按2%计入； 4、本项目无暂列金和工程保险费。 5、图纸：有。</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获取招标文件的，如不参与项目投标，应在递交投标文件递交截止时间前一日以书面形式告知采购代理机构。否则，采购代理机构可以向财政部门反映情况并提供相应的佐证。供应商一年内累计出现三次该情形, 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残疾人福利性单位声明函.pdf 监狱企业的证明文件.docx 中小企业声明函.docx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有效的登记注册证</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两种形式任选一种，提供2024年度或2025年度经审计的财务报告（成立时间至提交响应文件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具有履行合同所必须的设备和专业技术能力的承诺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磋商当天代理公司核查为准，供应商无需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供应商须具备水利水电工程施工总承包三级及以上资质，具备有效的安全生产许可证。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拟派项目负责人须具备水利水电工程专业二级及以上注册建造师资格，同时具备有效的安全生产考核合格证书（B证），且无在建项目(提供无在建工程承诺书)。</w:t>
            </w:r>
          </w:p>
        </w:tc>
        <w:tc>
          <w:tcPr>
            <w:tcW w:type="dxa" w:w="1661"/>
          </w:tcPr>
          <w:p>
            <w:pPr>
              <w:pStyle w:val="null3"/>
            </w:pPr>
            <w:r>
              <w:rPr>
                <w:rFonts w:ascii="仿宋_GB2312" w:hAnsi="仿宋_GB2312" w:cs="仿宋_GB2312" w:eastAsia="仿宋_GB2312"/>
              </w:rPr>
              <w:t>项目管理机构组成表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残疾人福利性单位声明函.pdf 已标价工程量清单 监狱企业的证明文件.docx 中小企业声明函.docx 供应商类似项目业绩一览表.docx 商务条款响应偏离表.docx 供应商承诺书.docx 资格证明文件.docx 响应文件封面 施工技术方案.docx 项目管理机构组成表 报价函 标的清单 技术、服务条款响应偏离表.docx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残疾人福利性单位声明函.pdf 已标价工程量清单 监狱企业的证明文件.docx 中小企业声明函.docx 供应商类似项目业绩一览表.docx 商务条款响应偏离表.docx 资格证明文件.docx 供应商承诺书.docx 响应文件封面 施工技术方案.docx 项目管理机构组成表 报价函 标的清单 技术、服务条款响应偏离表.docx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 ）报价不得超出最高限价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技术、服务、商务响应满足磋商文件实质性要求</w:t>
            </w:r>
          </w:p>
        </w:tc>
        <w:tc>
          <w:tcPr>
            <w:tcW w:type="dxa" w:w="3322"/>
          </w:tcPr>
          <w:p>
            <w:pPr>
              <w:pStyle w:val="null3"/>
            </w:pPr>
            <w:r>
              <w:rPr>
                <w:rFonts w:ascii="仿宋_GB2312" w:hAnsi="仿宋_GB2312" w:cs="仿宋_GB2312" w:eastAsia="仿宋_GB2312"/>
              </w:rPr>
              <w:t>技术、服务响应满足磋商文件要求；商务响应满足磋商文件要求。</w:t>
            </w:r>
          </w:p>
        </w:tc>
        <w:tc>
          <w:tcPr>
            <w:tcW w:type="dxa" w:w="1661"/>
          </w:tcPr>
          <w:p>
            <w:pPr>
              <w:pStyle w:val="null3"/>
            </w:pPr>
            <w:r>
              <w:rPr>
                <w:rFonts w:ascii="仿宋_GB2312" w:hAnsi="仿宋_GB2312" w:cs="仿宋_GB2312" w:eastAsia="仿宋_GB2312"/>
              </w:rPr>
              <w:t>技术、服务条款响应偏离表.docx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残疾人福利性单位声明函.pdf 已标价工程量清单 监狱企业的证明文件.docx 中小企业声明函.docx 供应商类似项目业绩一览表.docx 商务条款响应偏离表.docx 供应商承诺书.docx 资格证明文件.docx 响应文件封面 施工技术方案.docx 项目管理机构组成表 报价函 标的清单 技术、服务条款响应偏离表.docx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方案及技术措施专门针对本项目编制，符合项目实际情况及实施要求，内容详尽且涵盖角度全面，合理性和可行性强，能够保障项目顺利实施的，得(7-10]分符合项目实际情况及实施要求，内容较详尽且涵盖角度较全面，有一定的合理性和可行性的，得(4-7] 分基本符合项目实际情况及实施要求，但方案涵盖角度不全面且实施有难度的，得[0-4]分。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工程质量目标与措施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措施内容专门针对本项目编制，符合项目实际情况及实施要求，内容详尽且涵盖角度全面，合理性和可行性强，能够保障项目顺利实施的，得(6-8]分; 符合项目实际情况及实施要求，内容较详尽且涵盖角度基本全面，有一定的合理性和可行性的，得(3-6]分; 基本符合项目实际情况及实施要求，但涵盖角度不全面且实施有难度的，得[0-3]分。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结合本项目实际配备合理的项目管理机构人员组成，人员配置齐全（项目经理、施工技术负责人、安全管理人员（专职安全生产管理人员）、质量管理人员等），各专业配备合理、分工及岗位职责清晰，人员配备齐全、分工明确、科学、合理得（6-8]分；人员配备较为齐全、分工较明确得(3-6]分；一般得[0-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措施内容专门针对本项目编制，符合项目实际情况及实施要求，内容详尽且涵盖角度全面，合理性和可行性强，能够保障项目顺利实施的，得(4-7]分; 符合项目实际情况及实施要求，内容较详尽且涵盖角度基本全面，有一定的合理性和可行性的，得(2-4]分; 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措施内容专门针对本项目编制，符合项目实际情况及实施要求，内容详尽且涵盖角度全面，合理性和可行性强，能够保障项目顺利实施的，得(4-7]分; 符合项目实际情况及实施要求，内容较详尽且涵盖角度基本全面，有一定的合理性和可行性的，得(2-4]分; 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文明施工体系与措施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措施内容专门针对本项目编制，符合项目实际情况及实施要求，内容详尽且涵盖角度全面，合理性和可行性强，能够保障项目顺利实施的，得(4-6]分; 符合项目实际情况及实施要求，内容较详尽且涵盖角度基本全面，有一定的合理性和可行性的，得(2-4]分; 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措施内容专门针对本项目编制，符合项目实际情况及实施要求，内容详尽且涵盖角度全面，合理性和可行性强，能够保障项目顺利实施的，得(4-6]分; 基本符合项目实际情况及实施要求，内容较详细，涵盖角度较全面，基本合理可行的，得(2-4]分; 措施内容简单笼统，涵盖角度不全面，实施难度大的，得[0-2]分。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投入计划专门针对本项目编制，符合项目实际情况及实施要求，内容详尽且涵盖角度全面，合理性和可行性强，能够保障项目顺利实施的，得(4-6]分; 符合项目实际情况及实施要求，内容较详尽且涵盖角度基本全面，有一定的合理性和可行性的，得(2-4]分; 基本符合项目实际情况及实施要求，但方案涵盖角度不全面且实施有难度的，得[0-2]分。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施工期间治污减霾措施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措施内容专门针对本项目编制，符合项目实际情况及实施要求，内容详尽且涵盖角度全面，合理性和可行性强，能够保障项目顺利实施的，得(4-6]分; 基本符合项目实际情况及实施要求，内容较详细，涵盖角度较全面，基本合理可行的，得(2-4]分; 措施内容简单笼统，涵盖角度不全面，实施难度大的，得[0-2]分。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提供近三年（2023年1月1日至今）类似项目业绩，每一个类似项目业绩计3分，满分6分。（以施工合同或中标通知书复印件为准，并加盖公章）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详见附件：施工技术方案.docx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详见附件：残疾人福利性单位声明函.pdf</w:t>
      </w:r>
    </w:p>
    <w:p>
      <w:pPr>
        <w:pStyle w:val="null3"/>
        <w:ind w:firstLine="960"/>
      </w:pPr>
      <w:r>
        <w:rPr>
          <w:rFonts w:ascii="仿宋_GB2312" w:hAnsi="仿宋_GB2312" w:cs="仿宋_GB2312" w:eastAsia="仿宋_GB2312"/>
        </w:rPr>
        <w:t>详见附件：监狱企业的证明文件.docx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