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版本号：JZZB-【2026】-0520260313001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西安市灞桥区席王中心小学物业服务采购项目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JZZB-【2026】-05</w:t>
      </w:r>
      <w:r>
        <w:br/>
      </w:r>
      <w:r>
        <w:br/>
      </w:r>
      <w:r>
        <w:br/>
      </w:r>
    </w:p>
    <w:p>
      <w:pPr>
        <w:pStyle w:val="null3"/>
        <w:jc w:val="center"/>
        <w:outlineLvl w:val="2"/>
      </w:pPr>
      <w:r>
        <w:rPr>
          <w:rFonts w:ascii="仿宋_GB2312" w:hAnsi="仿宋_GB2312" w:cs="仿宋_GB2312" w:eastAsia="仿宋_GB2312"/>
          <w:sz w:val="28"/>
          <w:b/>
        </w:rPr>
        <w:t>陕西省西安市灞桥区席王中心小学</w:t>
      </w:r>
    </w:p>
    <w:p>
      <w:pPr>
        <w:pStyle w:val="null3"/>
        <w:jc w:val="center"/>
        <w:outlineLvl w:val="2"/>
      </w:pPr>
      <w:r>
        <w:rPr>
          <w:rFonts w:ascii="仿宋_GB2312" w:hAnsi="仿宋_GB2312" w:cs="仿宋_GB2312" w:eastAsia="仿宋_GB2312"/>
          <w:sz w:val="28"/>
          <w:b/>
        </w:rPr>
        <w:t>陕西金泽盛业项目管理有限公司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陕西金泽盛业项目管理有限公司</w:t>
      </w:r>
      <w:r>
        <w:rPr>
          <w:rFonts w:ascii="仿宋_GB2312" w:hAnsi="仿宋_GB2312" w:cs="仿宋_GB2312" w:eastAsia="仿宋_GB2312"/>
        </w:rPr>
        <w:t>（以下简称“代理机构”）受</w:t>
      </w:r>
      <w:r>
        <w:rPr>
          <w:rFonts w:ascii="仿宋_GB2312" w:hAnsi="仿宋_GB2312" w:cs="仿宋_GB2312" w:eastAsia="仿宋_GB2312"/>
        </w:rPr>
        <w:t>陕西省西安市灞桥区席王中心小学</w:t>
      </w:r>
      <w:r>
        <w:rPr>
          <w:rFonts w:ascii="仿宋_GB2312" w:hAnsi="仿宋_GB2312" w:cs="仿宋_GB2312" w:eastAsia="仿宋_GB2312"/>
        </w:rPr>
        <w:t>委托，拟对</w:t>
      </w:r>
      <w:r>
        <w:rPr>
          <w:rFonts w:ascii="仿宋_GB2312" w:hAnsi="仿宋_GB2312" w:cs="仿宋_GB2312" w:eastAsia="仿宋_GB2312"/>
        </w:rPr>
        <w:t>西安市灞桥区席王中心小学物业服务采购项目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JZZB-【2026】-05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西安市灞桥区席王中心小学物业服务采购项目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为使全体师生拥有一个干净、整洁、舒适的学习和工作环境，经我单位行政会议研究、支委会会议讨论，拟在2026年聘用物业公司对席王中心小学下辖5所小学1所幼儿园提供卫生打扫保洁、绿植维护等服务。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采购包1（西安市灞桥区席王中心小学物业服务采购项目）：属于专门面向中小企业采购。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1、营业执照：提供独立承担民事责任能力的法人、其他组织或自然人，企业法人、其他组织须具有合法有效的营业执照（或事业单位法人证书）等证明资料,自然人须具有身份证明；</w:t>
      </w:r>
    </w:p>
    <w:p>
      <w:pPr>
        <w:pStyle w:val="null3"/>
      </w:pPr>
      <w:r>
        <w:rPr>
          <w:rFonts w:ascii="仿宋_GB2312" w:hAnsi="仿宋_GB2312" w:cs="仿宋_GB2312" w:eastAsia="仿宋_GB2312"/>
        </w:rPr>
        <w:t>2、法定代表人授权委托书：供应商提供法定代表人授权委托书（附法定代表人及被授权人身份证复印件)，法定代表人直接参加只需提供法定代表人身份证明及身份证原件，非法人单位参照执行；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陕西省西安市灞桥区席王中心小学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席王路901号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西安市灞桥区席王中心小学经办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029-89514517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陕西金泽盛业项目管理有限公司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西安市经济技术开发区凤城五路123号秦创原软科中心A座20层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高翠翠、王闯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13109596903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人在领取成交通知书时，向陕西金泽盛业项目管理有限公司交纳招标代理服务费。服务费收费标准参照原《国家计委关于印发&lt;招标代理服务收费管理暂行办法&gt;的通知》(计价格〔2002〕1980号)、《国家发展改革委关于降低部分建设项目收费标准规范收费行为等有关问题的通知》(发改价格〔2011〕534号)规定执行。本项目招标代理服务费为：捌仟元整（¥8000.00）。 汇款账户： 1.开户行名称：陕西金泽盛业项目管理有限公司 2.开户行：北京银行股份有限公司西安大明宫支行 3.帐号：2000 0043 0482 0003 3180 933 备注：供应商在汇款（成交服务费）时须注明项目编号+项目简称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陕西省西安市灞桥区席王中心小学</w:t>
      </w:r>
      <w:r>
        <w:rPr>
          <w:rFonts w:ascii="仿宋_GB2312" w:hAnsi="仿宋_GB2312" w:cs="仿宋_GB2312" w:eastAsia="仿宋_GB2312"/>
        </w:rPr>
        <w:t>和</w:t>
      </w:r>
      <w:r>
        <w:rPr>
          <w:rFonts w:ascii="仿宋_GB2312" w:hAnsi="仿宋_GB2312" w:cs="仿宋_GB2312" w:eastAsia="仿宋_GB2312"/>
        </w:rPr>
        <w:t>陕西金泽盛业项目管理有限公司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陕西省西安市灞桥区席王中心小学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陕西金泽盛业项目管理有限公司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陕西省西安市灞桥区席王中心小学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陕西金泽盛业项目管理有限公司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达到磋商文件要求及国家和地方现行规范标准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陕西金泽盛业项目管理有限公司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联系电话：13109596903</w:t>
      </w:r>
    </w:p>
    <w:p>
      <w:pPr>
        <w:pStyle w:val="null3"/>
      </w:pPr>
      <w:r>
        <w:rPr>
          <w:rFonts w:ascii="仿宋_GB2312" w:hAnsi="仿宋_GB2312" w:cs="仿宋_GB2312" w:eastAsia="仿宋_GB2312"/>
        </w:rPr>
        <w:t>地址：西安市经济技术开发区凤城五路123号秦创原软科中心A座20层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为使全体师生拥有一个干净、整洁、舒适的学习和工作环境，经我单位行政会议研究、支委会会议讨论，拟在2026年聘用物业公司对席王中心小学下辖5所小学1所幼儿园提供卫生打扫保洁、绿植维护等服务。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物业服务采购项目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ind w:firstLine="400"/>
            </w:pPr>
            <w:r>
              <w:rPr>
                <w:rFonts w:ascii="仿宋_GB2312" w:hAnsi="仿宋_GB2312" w:cs="仿宋_GB2312" w:eastAsia="仿宋_GB2312"/>
              </w:rPr>
              <w:t>为使全体师生拥有一个干净、整洁、舒适的学习和工作环境</w:t>
            </w:r>
            <w:r>
              <w:rPr>
                <w:rFonts w:ascii="仿宋_GB2312" w:hAnsi="仿宋_GB2312" w:cs="仿宋_GB2312" w:eastAsia="仿宋_GB2312"/>
              </w:rPr>
              <w:t>，</w:t>
            </w:r>
            <w:r>
              <w:rPr>
                <w:rFonts w:ascii="仿宋_GB2312" w:hAnsi="仿宋_GB2312" w:cs="仿宋_GB2312" w:eastAsia="仿宋_GB2312"/>
              </w:rPr>
              <w:t>经我单位行政会议研究、支委会会议讨论，拟在</w:t>
            </w:r>
            <w:r>
              <w:rPr>
                <w:rFonts w:ascii="仿宋_GB2312" w:hAnsi="仿宋_GB2312" w:cs="仿宋_GB2312" w:eastAsia="仿宋_GB2312"/>
              </w:rPr>
              <w:t>2026年聘用物业公司对席王中心小学下辖5所小学1所幼儿园提供卫生打扫保洁、绿植维护等服务</w:t>
            </w:r>
            <w:r>
              <w:rPr>
                <w:rFonts w:ascii="仿宋_GB2312" w:hAnsi="仿宋_GB2312" w:cs="仿宋_GB2312" w:eastAsia="仿宋_GB2312"/>
              </w:rPr>
              <w:t>。</w:t>
            </w:r>
          </w:p>
          <w:p>
            <w:pPr>
              <w:pStyle w:val="null3"/>
            </w:pPr>
            <w:r>
              <w:rPr>
                <w:rFonts w:ascii="仿宋_GB2312" w:hAnsi="仿宋_GB2312" w:cs="仿宋_GB2312" w:eastAsia="仿宋_GB2312"/>
              </w:rPr>
              <w:t>二、服务内容（包括工作区域、工作内容等）</w:t>
            </w:r>
          </w:p>
          <w:p>
            <w:pPr>
              <w:pStyle w:val="null3"/>
              <w:ind w:firstLine="400"/>
              <w:jc w:val="both"/>
            </w:pPr>
            <w:r>
              <w:rPr>
                <w:rFonts w:ascii="仿宋_GB2312" w:hAnsi="仿宋_GB2312" w:cs="仿宋_GB2312" w:eastAsia="仿宋_GB2312"/>
                <w:sz w:val="20"/>
              </w:rPr>
              <w:t>工作区域：席王中心学校下辖的</w:t>
            </w:r>
            <w:r>
              <w:rPr>
                <w:rFonts w:ascii="仿宋_GB2312" w:hAnsi="仿宋_GB2312" w:cs="仿宋_GB2312" w:eastAsia="仿宋_GB2312"/>
                <w:sz w:val="20"/>
              </w:rPr>
              <w:t>5所小学和1所幼儿园（席王中心小学、官厅小学、东城第六小学、老洞小学、东李小学、席王街道中心幼儿园）。</w:t>
            </w:r>
          </w:p>
          <w:p>
            <w:pPr>
              <w:pStyle w:val="null3"/>
            </w:pPr>
            <w:r>
              <w:rPr>
                <w:rFonts w:ascii="仿宋_GB2312" w:hAnsi="仿宋_GB2312" w:cs="仿宋_GB2312" w:eastAsia="仿宋_GB2312"/>
              </w:rPr>
              <w:t>三、服务要求（如对人员配置、专业设备、服务标准等）</w:t>
            </w:r>
          </w:p>
          <w:p>
            <w:pPr>
              <w:pStyle w:val="null3"/>
            </w:pPr>
            <w:r>
              <w:rPr>
                <w:rFonts w:ascii="仿宋_GB2312" w:hAnsi="仿宋_GB2312" w:cs="仿宋_GB2312" w:eastAsia="仿宋_GB2312"/>
              </w:rPr>
              <w:t>1.服务履行期限</w:t>
            </w:r>
          </w:p>
          <w:p>
            <w:pPr>
              <w:pStyle w:val="null3"/>
            </w:pPr>
            <w:r>
              <w:rPr>
                <w:rFonts w:ascii="仿宋_GB2312" w:hAnsi="仿宋_GB2312" w:cs="仿宋_GB2312" w:eastAsia="仿宋_GB2312"/>
              </w:rPr>
              <w:t xml:space="preserve">  </w:t>
            </w:r>
            <w:r>
              <w:rPr>
                <w:rFonts w:ascii="仿宋_GB2312" w:hAnsi="仿宋_GB2312" w:cs="仿宋_GB2312" w:eastAsia="仿宋_GB2312"/>
              </w:rPr>
              <w:t>服务期</w:t>
            </w:r>
            <w:r>
              <w:rPr>
                <w:rFonts w:ascii="仿宋_GB2312" w:hAnsi="仿宋_GB2312" w:cs="仿宋_GB2312" w:eastAsia="仿宋_GB2312"/>
              </w:rPr>
              <w:t>一年</w:t>
            </w:r>
            <w:r>
              <w:rPr>
                <w:rFonts w:ascii="仿宋_GB2312" w:hAnsi="仿宋_GB2312" w:cs="仿宋_GB2312" w:eastAsia="仿宋_GB2312"/>
              </w:rPr>
              <w:t>。</w:t>
            </w:r>
          </w:p>
          <w:p>
            <w:pPr>
              <w:pStyle w:val="null3"/>
            </w:pPr>
            <w:r>
              <w:rPr>
                <w:rFonts w:ascii="仿宋_GB2312" w:hAnsi="仿宋_GB2312" w:cs="仿宋_GB2312" w:eastAsia="仿宋_GB2312"/>
              </w:rPr>
              <w:t>2.人员要求</w:t>
            </w:r>
          </w:p>
          <w:p>
            <w:pPr>
              <w:pStyle w:val="null3"/>
            </w:pPr>
            <w:r>
              <w:rPr>
                <w:rFonts w:ascii="仿宋_GB2312" w:hAnsi="仿宋_GB2312" w:cs="仿宋_GB2312" w:eastAsia="仿宋_GB2312"/>
              </w:rPr>
              <w:t>管理</w:t>
            </w:r>
            <w:r>
              <w:rPr>
                <w:rFonts w:ascii="仿宋_GB2312" w:hAnsi="仿宋_GB2312" w:cs="仿宋_GB2312" w:eastAsia="仿宋_GB2312"/>
              </w:rPr>
              <w:t>人员及保洁人员须着统一服装上岗，</w:t>
            </w:r>
            <w:r>
              <w:rPr>
                <w:rFonts w:ascii="仿宋_GB2312" w:hAnsi="仿宋_GB2312" w:cs="仿宋_GB2312" w:eastAsia="仿宋_GB2312"/>
              </w:rPr>
              <w:t>管理</w:t>
            </w:r>
            <w:r>
              <w:rPr>
                <w:rFonts w:ascii="仿宋_GB2312" w:hAnsi="仿宋_GB2312" w:cs="仿宋_GB2312" w:eastAsia="仿宋_GB2312"/>
              </w:rPr>
              <w:t>人员及保洁人员统一服装，保证制服统一、合身、整洁、符合</w:t>
            </w:r>
            <w:r>
              <w:rPr>
                <w:rFonts w:ascii="仿宋_GB2312" w:hAnsi="仿宋_GB2312" w:cs="仿宋_GB2312" w:eastAsia="仿宋_GB2312"/>
              </w:rPr>
              <w:t>管理</w:t>
            </w:r>
            <w:r>
              <w:rPr>
                <w:rFonts w:ascii="仿宋_GB2312" w:hAnsi="仿宋_GB2312" w:cs="仿宋_GB2312" w:eastAsia="仿宋_GB2312"/>
              </w:rPr>
              <w:t>人员及保洁人员着装规范；</w:t>
            </w:r>
            <w:r>
              <w:rPr>
                <w:rFonts w:ascii="仿宋_GB2312" w:hAnsi="仿宋_GB2312" w:cs="仿宋_GB2312" w:eastAsia="仿宋_GB2312"/>
              </w:rPr>
              <w:t>管理</w:t>
            </w:r>
            <w:r>
              <w:rPr>
                <w:rFonts w:ascii="仿宋_GB2312" w:hAnsi="仿宋_GB2312" w:cs="仿宋_GB2312" w:eastAsia="仿宋_GB2312"/>
              </w:rPr>
              <w:t>人员及保洁人员要求年龄在</w:t>
            </w:r>
            <w:r>
              <w:rPr>
                <w:rFonts w:ascii="仿宋_GB2312" w:hAnsi="仿宋_GB2312" w:cs="仿宋_GB2312" w:eastAsia="仿宋_GB2312"/>
              </w:rPr>
              <w:t>20周岁至</w:t>
            </w:r>
            <w:r>
              <w:rPr>
                <w:rFonts w:ascii="仿宋_GB2312" w:hAnsi="仿宋_GB2312" w:cs="仿宋_GB2312" w:eastAsia="仿宋_GB2312"/>
              </w:rPr>
              <w:t>60</w:t>
            </w:r>
            <w:r>
              <w:rPr>
                <w:rFonts w:ascii="仿宋_GB2312" w:hAnsi="仿宋_GB2312" w:cs="仿宋_GB2312" w:eastAsia="仿宋_GB2312"/>
              </w:rPr>
              <w:t>周岁之间；</w:t>
            </w:r>
            <w:r>
              <w:rPr>
                <w:rFonts w:ascii="仿宋_GB2312" w:hAnsi="仿宋_GB2312" w:cs="仿宋_GB2312" w:eastAsia="仿宋_GB2312"/>
              </w:rPr>
              <w:t>管理</w:t>
            </w:r>
            <w:r>
              <w:rPr>
                <w:rFonts w:ascii="仿宋_GB2312" w:hAnsi="仿宋_GB2312" w:cs="仿宋_GB2312" w:eastAsia="仿宋_GB2312"/>
              </w:rPr>
              <w:t>人员及保洁人员要保证形象，工作状态饱满、耐心细致、方法灵活，避免和教职员工及来校人员发生冲突。严禁聘请有语言障碍、精神病史者担任宿管人员及保洁人员；不得聘请有违法犯罪记录者上岗。</w:t>
            </w:r>
          </w:p>
          <w:p>
            <w:pPr>
              <w:pStyle w:val="null3"/>
            </w:pPr>
            <w:r>
              <w:rPr>
                <w:rFonts w:ascii="仿宋_GB2312" w:hAnsi="仿宋_GB2312" w:cs="仿宋_GB2312" w:eastAsia="仿宋_GB2312"/>
              </w:rPr>
              <w:t xml:space="preserve">  </w:t>
            </w:r>
            <w:r>
              <w:rPr>
                <w:rFonts w:ascii="仿宋_GB2312" w:hAnsi="仿宋_GB2312" w:cs="仿宋_GB2312" w:eastAsia="仿宋_GB2312"/>
              </w:rPr>
              <w:t>总人数：人员</w:t>
            </w:r>
            <w:r>
              <w:rPr>
                <w:rFonts w:ascii="仿宋_GB2312" w:hAnsi="仿宋_GB2312" w:cs="仿宋_GB2312" w:eastAsia="仿宋_GB2312"/>
              </w:rPr>
              <w:t>共</w:t>
            </w:r>
            <w:r>
              <w:rPr>
                <w:rFonts w:ascii="仿宋_GB2312" w:hAnsi="仿宋_GB2312" w:cs="仿宋_GB2312" w:eastAsia="仿宋_GB2312"/>
              </w:rPr>
              <w:t>25</w:t>
            </w:r>
            <w:r>
              <w:rPr>
                <w:rFonts w:ascii="仿宋_GB2312" w:hAnsi="仿宋_GB2312" w:cs="仿宋_GB2312" w:eastAsia="仿宋_GB2312"/>
              </w:rPr>
              <w:t>人，</w:t>
            </w:r>
            <w:r>
              <w:rPr>
                <w:rFonts w:ascii="仿宋_GB2312" w:hAnsi="仿宋_GB2312" w:cs="仿宋_GB2312" w:eastAsia="仿宋_GB2312"/>
              </w:rPr>
              <w:t>其中席王中心小学</w:t>
            </w:r>
            <w:r>
              <w:rPr>
                <w:rFonts w:ascii="仿宋_GB2312" w:hAnsi="仿宋_GB2312" w:cs="仿宋_GB2312" w:eastAsia="仿宋_GB2312"/>
              </w:rPr>
              <w:t>6</w:t>
            </w:r>
            <w:r>
              <w:rPr>
                <w:rFonts w:ascii="仿宋_GB2312" w:hAnsi="仿宋_GB2312" w:cs="仿宋_GB2312" w:eastAsia="仿宋_GB2312"/>
              </w:rPr>
              <w:t>人</w:t>
            </w:r>
            <w:r>
              <w:rPr>
                <w:rFonts w:ascii="仿宋_GB2312" w:hAnsi="仿宋_GB2312" w:cs="仿宋_GB2312" w:eastAsia="仿宋_GB2312"/>
              </w:rPr>
              <w:t>、官厅小学</w:t>
            </w:r>
            <w:r>
              <w:rPr>
                <w:rFonts w:ascii="仿宋_GB2312" w:hAnsi="仿宋_GB2312" w:cs="仿宋_GB2312" w:eastAsia="仿宋_GB2312"/>
              </w:rPr>
              <w:t>5</w:t>
            </w:r>
            <w:r>
              <w:rPr>
                <w:rFonts w:ascii="仿宋_GB2312" w:hAnsi="仿宋_GB2312" w:cs="仿宋_GB2312" w:eastAsia="仿宋_GB2312"/>
              </w:rPr>
              <w:t>人</w:t>
            </w:r>
            <w:r>
              <w:rPr>
                <w:rFonts w:ascii="仿宋_GB2312" w:hAnsi="仿宋_GB2312" w:cs="仿宋_GB2312" w:eastAsia="仿宋_GB2312"/>
              </w:rPr>
              <w:t>、东城第六小学</w:t>
            </w:r>
            <w:r>
              <w:rPr>
                <w:rFonts w:ascii="仿宋_GB2312" w:hAnsi="仿宋_GB2312" w:cs="仿宋_GB2312" w:eastAsia="仿宋_GB2312"/>
              </w:rPr>
              <w:t>8</w:t>
            </w:r>
            <w:r>
              <w:rPr>
                <w:rFonts w:ascii="仿宋_GB2312" w:hAnsi="仿宋_GB2312" w:cs="仿宋_GB2312" w:eastAsia="仿宋_GB2312"/>
              </w:rPr>
              <w:t>人</w:t>
            </w:r>
            <w:r>
              <w:rPr>
                <w:rFonts w:ascii="仿宋_GB2312" w:hAnsi="仿宋_GB2312" w:cs="仿宋_GB2312" w:eastAsia="仿宋_GB2312"/>
              </w:rPr>
              <w:t>、老洞小学</w:t>
            </w:r>
            <w:r>
              <w:rPr>
                <w:rFonts w:ascii="仿宋_GB2312" w:hAnsi="仿宋_GB2312" w:cs="仿宋_GB2312" w:eastAsia="仿宋_GB2312"/>
              </w:rPr>
              <w:t>2</w:t>
            </w:r>
            <w:r>
              <w:rPr>
                <w:rFonts w:ascii="仿宋_GB2312" w:hAnsi="仿宋_GB2312" w:cs="仿宋_GB2312" w:eastAsia="仿宋_GB2312"/>
              </w:rPr>
              <w:t>人</w:t>
            </w:r>
            <w:r>
              <w:rPr>
                <w:rFonts w:ascii="仿宋_GB2312" w:hAnsi="仿宋_GB2312" w:cs="仿宋_GB2312" w:eastAsia="仿宋_GB2312"/>
              </w:rPr>
              <w:t>、东李小学</w:t>
            </w:r>
            <w:r>
              <w:rPr>
                <w:rFonts w:ascii="仿宋_GB2312" w:hAnsi="仿宋_GB2312" w:cs="仿宋_GB2312" w:eastAsia="仿宋_GB2312"/>
              </w:rPr>
              <w:t>1</w:t>
            </w:r>
            <w:r>
              <w:rPr>
                <w:rFonts w:ascii="仿宋_GB2312" w:hAnsi="仿宋_GB2312" w:cs="仿宋_GB2312" w:eastAsia="仿宋_GB2312"/>
              </w:rPr>
              <w:t>人</w:t>
            </w:r>
            <w:r>
              <w:rPr>
                <w:rFonts w:ascii="仿宋_GB2312" w:hAnsi="仿宋_GB2312" w:cs="仿宋_GB2312" w:eastAsia="仿宋_GB2312"/>
              </w:rPr>
              <w:t>、席王街道中心幼儿园</w:t>
            </w:r>
            <w:r>
              <w:rPr>
                <w:rFonts w:ascii="仿宋_GB2312" w:hAnsi="仿宋_GB2312" w:cs="仿宋_GB2312" w:eastAsia="仿宋_GB2312"/>
              </w:rPr>
              <w:t>2</w:t>
            </w:r>
            <w:r>
              <w:rPr>
                <w:rFonts w:ascii="仿宋_GB2312" w:hAnsi="仿宋_GB2312" w:cs="仿宋_GB2312" w:eastAsia="仿宋_GB2312"/>
              </w:rPr>
              <w:t>人</w:t>
            </w:r>
            <w:r>
              <w:rPr>
                <w:rFonts w:ascii="仿宋_GB2312" w:hAnsi="仿宋_GB2312" w:cs="仿宋_GB2312" w:eastAsia="仿宋_GB2312"/>
              </w:rPr>
              <w:t>、</w:t>
            </w:r>
            <w:r>
              <w:rPr>
                <w:rFonts w:ascii="仿宋_GB2312" w:hAnsi="仿宋_GB2312" w:cs="仿宋_GB2312" w:eastAsia="仿宋_GB2312"/>
              </w:rPr>
              <w:t>管理单位</w:t>
            </w:r>
            <w:r>
              <w:rPr>
                <w:rFonts w:ascii="仿宋_GB2312" w:hAnsi="仿宋_GB2312" w:cs="仿宋_GB2312" w:eastAsia="仿宋_GB2312"/>
              </w:rPr>
              <w:t>1</w:t>
            </w:r>
            <w:r>
              <w:rPr>
                <w:rFonts w:ascii="仿宋_GB2312" w:hAnsi="仿宋_GB2312" w:cs="仿宋_GB2312" w:eastAsia="仿宋_GB2312"/>
              </w:rPr>
              <w:t>人</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.保洁服务要求：</w:t>
            </w:r>
          </w:p>
          <w:p>
            <w:pPr>
              <w:pStyle w:val="null3"/>
            </w:pPr>
            <w:r>
              <w:rPr>
                <w:rFonts w:ascii="仿宋_GB2312" w:hAnsi="仿宋_GB2312" w:cs="仿宋_GB2312" w:eastAsia="仿宋_GB2312"/>
              </w:rPr>
              <w:t>3</w:t>
            </w:r>
            <w:r>
              <w:rPr>
                <w:rFonts w:ascii="仿宋_GB2312" w:hAnsi="仿宋_GB2312" w:cs="仿宋_GB2312" w:eastAsia="仿宋_GB2312"/>
              </w:rPr>
              <w:t>.1工作内容及工作区域：学</w:t>
            </w:r>
            <w:r>
              <w:rPr>
                <w:rFonts w:ascii="仿宋_GB2312" w:hAnsi="仿宋_GB2312" w:cs="仿宋_GB2312" w:eastAsia="仿宋_GB2312"/>
              </w:rPr>
              <w:t>校</w:t>
            </w:r>
            <w:r>
              <w:rPr>
                <w:rFonts w:ascii="仿宋_GB2312" w:hAnsi="仿宋_GB2312" w:cs="仿宋_GB2312" w:eastAsia="仿宋_GB2312"/>
              </w:rPr>
              <w:t>的日常保洁工作；工作区域在学校范围内。</w:t>
            </w:r>
          </w:p>
          <w:p>
            <w:pPr>
              <w:pStyle w:val="null3"/>
            </w:pPr>
            <w:r>
              <w:rPr>
                <w:rFonts w:ascii="仿宋_GB2312" w:hAnsi="仿宋_GB2312" w:cs="仿宋_GB2312" w:eastAsia="仿宋_GB2312"/>
              </w:rPr>
              <w:t>3</w:t>
            </w:r>
            <w:r>
              <w:rPr>
                <w:rFonts w:ascii="仿宋_GB2312" w:hAnsi="仿宋_GB2312" w:cs="仿宋_GB2312" w:eastAsia="仿宋_GB2312"/>
              </w:rPr>
              <w:t>.2服务标准：</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.1</w:t>
            </w:r>
            <w:r>
              <w:rPr>
                <w:rFonts w:ascii="仿宋_GB2312" w:hAnsi="仿宋_GB2312" w:cs="仿宋_GB2312" w:eastAsia="仿宋_GB2312"/>
              </w:rPr>
              <w:t>学校</w:t>
            </w:r>
            <w:r>
              <w:rPr>
                <w:rFonts w:ascii="仿宋_GB2312" w:hAnsi="仿宋_GB2312" w:cs="仿宋_GB2312" w:eastAsia="仿宋_GB2312"/>
              </w:rPr>
              <w:t>卫生保洁，做到干净整洁；每天打扫</w:t>
            </w:r>
            <w:r>
              <w:rPr>
                <w:rFonts w:ascii="仿宋_GB2312" w:hAnsi="仿宋_GB2312" w:cs="仿宋_GB2312" w:eastAsia="仿宋_GB2312"/>
              </w:rPr>
              <w:t>2次。</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.2垃圾处理按照生活垃圾分类工作标准进行分类处理到指定垃圾箱；</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.3规范保洁人员的行为，工作期间不喧哗争吵，言语文明，行为得体，拾金不昧，拾到东西上交到有关部门；</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.4做好学校重大活动保洁及应急保洁，做好灾害性气候应急抢险抗灾工作（如暴雨、大雪等）。</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.5配合做好除四害布药、消杀工作以及其他工作。</w:t>
            </w:r>
          </w:p>
          <w:p>
            <w:pPr>
              <w:pStyle w:val="null3"/>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.6日常保洁过程中必须使用与被保洁对象材质相对应的保洁设备、保洁用品及日常护理用品。</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.7做好学校交办的其他工作。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根据服务要求自行配备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1.质量验收标准：符合现行国家、行业”合格”标准并满足采购人要求。 2.质量验收规范: 1)《中华人民共和国民法典》; 2)《物业管理条例》; 3)其他法律、法规、规章及行业标准等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合同签订后按月支付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合同签订后按月支付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合同签订后按月支付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合同签订后按月支付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合同签订后按月支付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合同签订后按月支付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合同签订后按月支付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合同签订后按月支付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合同签订后按月支付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合同签订后按月支付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合同签订后按月支付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合同签订后按月支付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1、成交人在领取成交通知书时提供一正两副纸质竞争性磋商响应文件。 装订：纸质竞争性磋商响应文件采用书籍（胶装）方式装订成册，与电子版文件一致的签字、盖章的完整版本。 2、本项目采购标的对应的中小企业划分标准所属行业为（物业管理）。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基本资格条件承诺函.docx 供应商参与政府采购活动的承诺函.docx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提供独立承担民事责任能力的法人、其他组织或自然人，企业法人、其他组织须具有合法有效的营业执照（或事业单位法人证书）等证明资料,自然人须具有身份证明；</w:t>
            </w:r>
          </w:p>
        </w:tc>
        <w:tc>
          <w:tcPr>
            <w:tcW w:type="dxa" w:w="1661"/>
          </w:tcPr>
          <w:p>
            <w:pPr>
              <w:pStyle w:val="null3"/>
            </w:pPr>
            <w:r>
              <w:rPr>
                <w:rFonts w:ascii="仿宋_GB2312" w:hAnsi="仿宋_GB2312" w:cs="仿宋_GB2312" w:eastAsia="仿宋_GB2312"/>
              </w:rPr>
              <w:t>营业执照法定代表人授权委托书.docx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供应商提供法定代表人授权委托书（附法定代表人及被授权人身份证复印件)，法定代表人直接参加只需提供法定代表人身份证明及身份证原件，非法人单位参照执行；</w:t>
            </w:r>
          </w:p>
        </w:tc>
        <w:tc>
          <w:tcPr>
            <w:tcW w:type="dxa" w:w="1661"/>
          </w:tcPr>
          <w:p>
            <w:pPr>
              <w:pStyle w:val="null3"/>
            </w:pPr>
            <w:r>
              <w:rPr>
                <w:rFonts w:ascii="仿宋_GB2312" w:hAnsi="仿宋_GB2312" w:cs="仿宋_GB2312" w:eastAsia="仿宋_GB2312"/>
              </w:rPr>
              <w:t>营业执照法定代表人授权委托书.docx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除明确允许供应商可以自行编写的外，磋商响应文件按照磋商文件给定的格式编制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响应文件封面 营业执照法定代表人授权委托书.docx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磋商响应文件按照磋商文件的要求盖章签字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磋商报价不得超过采购预算</w:t>
            </w:r>
          </w:p>
        </w:tc>
        <w:tc>
          <w:tcPr>
            <w:tcW w:type="dxa" w:w="3322"/>
          </w:tcPr>
          <w:p>
            <w:pPr>
              <w:pStyle w:val="null3"/>
            </w:pPr>
            <w:r>
              <w:rPr>
                <w:rFonts w:ascii="仿宋_GB2312" w:hAnsi="仿宋_GB2312" w:cs="仿宋_GB2312" w:eastAsia="仿宋_GB2312"/>
              </w:rPr>
              <w:t>磋商报价是否超过采购预算</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磋商有效期符合磋商文件的要求</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对磋商文件商务要求作出明确且实质性响应</w:t>
            </w:r>
          </w:p>
        </w:tc>
        <w:tc>
          <w:tcPr>
            <w:tcW w:type="dxa" w:w="3322"/>
          </w:tcPr>
          <w:p>
            <w:pPr>
              <w:pStyle w:val="null3"/>
            </w:pPr>
            <w:r>
              <w:rPr>
                <w:rFonts w:ascii="仿宋_GB2312" w:hAnsi="仿宋_GB2312" w:cs="仿宋_GB2312" w:eastAsia="仿宋_GB2312"/>
              </w:rPr>
              <w:t>对磋商文件商务要求是否作出明确且实质性响应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对磋商文件服务内容及服务要求作出明确响应，对不得偏离的要求作出实质性响应</w:t>
            </w:r>
          </w:p>
        </w:tc>
        <w:tc>
          <w:tcPr>
            <w:tcW w:type="dxa" w:w="3322"/>
          </w:tcPr>
          <w:p>
            <w:pPr>
              <w:pStyle w:val="null3"/>
            </w:pPr>
            <w:r>
              <w:rPr>
                <w:rFonts w:ascii="仿宋_GB2312" w:hAnsi="仿宋_GB2312" w:cs="仿宋_GB2312" w:eastAsia="仿宋_GB2312"/>
              </w:rPr>
              <w:t>对磋商文件服务内容及服务要求是否作出明确响应，对不得偏离的要求是否作出了实质性响应</w:t>
            </w:r>
          </w:p>
        </w:tc>
        <w:tc>
          <w:tcPr>
            <w:tcW w:type="dxa" w:w="1661"/>
          </w:tcPr>
          <w:p>
            <w:pPr>
              <w:pStyle w:val="null3"/>
            </w:pPr>
            <w:r>
              <w:rPr>
                <w:rFonts w:ascii="仿宋_GB2312" w:hAnsi="仿宋_GB2312" w:cs="仿宋_GB2312" w:eastAsia="仿宋_GB2312"/>
              </w:rPr>
              <w:t>服务内容及服务要求响应偏离表.docx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是否有法律、法规和磋商文件规定的其他无效响应情形</w:t>
            </w:r>
          </w:p>
        </w:tc>
        <w:tc>
          <w:tcPr>
            <w:tcW w:type="dxa" w:w="1661"/>
          </w:tcPr>
          <w:p>
            <w:pPr>
              <w:pStyle w:val="null3"/>
            </w:pPr>
            <w:r>
              <w:rPr>
                <w:rFonts w:ascii="仿宋_GB2312" w:hAnsi="仿宋_GB2312" w:cs="仿宋_GB2312" w:eastAsia="仿宋_GB2312"/>
              </w:rPr>
              <w:t>拒绝政府采购领域商业贿赂承诺书.docx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磋商响应文件含有采购人不能接受的附加条件</w:t>
            </w:r>
          </w:p>
        </w:tc>
        <w:tc>
          <w:tcPr>
            <w:tcW w:type="dxa" w:w="3322"/>
          </w:tcPr>
          <w:p>
            <w:pPr>
              <w:pStyle w:val="null3"/>
            </w:pPr>
            <w:r>
              <w:rPr>
                <w:rFonts w:ascii="仿宋_GB2312" w:hAnsi="仿宋_GB2312" w:cs="仿宋_GB2312" w:eastAsia="仿宋_GB2312"/>
              </w:rPr>
              <w:t>磋商响应文件是否含有采购人不能接受的附加条件</w:t>
            </w:r>
          </w:p>
        </w:tc>
        <w:tc>
          <w:tcPr>
            <w:tcW w:type="dxa" w:w="1661"/>
          </w:tcPr>
          <w:p>
            <w:pPr>
              <w:pStyle w:val="null3"/>
            </w:pPr>
            <w:r>
              <w:rPr>
                <w:rFonts w:ascii="仿宋_GB2312" w:hAnsi="仿宋_GB2312" w:cs="仿宋_GB2312" w:eastAsia="仿宋_GB2312"/>
              </w:rPr>
              <w:t>供应商认为有必要补充说明的事宜.docx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物业服务总体方案</w:t>
            </w:r>
          </w:p>
        </w:tc>
        <w:tc>
          <w:tcPr>
            <w:tcW w:type="dxa" w:w="2492"/>
          </w:tcPr>
          <w:p>
            <w:pPr>
              <w:pStyle w:val="null3"/>
            </w:pPr>
            <w:r>
              <w:rPr>
                <w:rFonts w:ascii="仿宋_GB2312" w:hAnsi="仿宋_GB2312" w:cs="仿宋_GB2312" w:eastAsia="仿宋_GB2312"/>
              </w:rPr>
              <w:t>针对服务内容及要求提出适用于本项目的总体服务方案，方案内容包含:①重难点分析及保障措施②服务内容与标准及服务计划 ③进退场交接方案。 对本项目的工作内容理解清晰、全面，分析详尽，具体描述合理得当，符合项目情况，得10分; 分析比较全面，具体描述比较合理，得6分; 分析不充分，具体描述有欠妥当，得3分。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物业服务总体方案.docx</w:t>
            </w:r>
          </w:p>
        </w:tc>
      </w:tr>
      <w:tr>
        <w:tc>
          <w:tcPr>
            <w:tcW w:type="dxa" w:w="831"/>
            <w:vMerge/>
          </w:tcPr>
          <w:p/>
        </w:tc>
        <w:tc>
          <w:tcPr>
            <w:tcW w:type="dxa" w:w="1661"/>
          </w:tcPr>
          <w:p>
            <w:pPr>
              <w:pStyle w:val="null3"/>
            </w:pPr>
            <w:r>
              <w:rPr>
                <w:rFonts w:ascii="仿宋_GB2312" w:hAnsi="仿宋_GB2312" w:cs="仿宋_GB2312" w:eastAsia="仿宋_GB2312"/>
              </w:rPr>
              <w:t>环境保洁服务方案</w:t>
            </w:r>
          </w:p>
        </w:tc>
        <w:tc>
          <w:tcPr>
            <w:tcW w:type="dxa" w:w="2492"/>
          </w:tcPr>
          <w:p>
            <w:pPr>
              <w:pStyle w:val="null3"/>
            </w:pPr>
            <w:r>
              <w:rPr>
                <w:rFonts w:ascii="仿宋_GB2312" w:hAnsi="仿宋_GB2312" w:cs="仿宋_GB2312" w:eastAsia="仿宋_GB2312"/>
              </w:rPr>
              <w:t>针对本项目服务内容及范围提供环境管理服务方案，方案包括:①区域内保洁及垃圾清理:包括楼内、楼外区域保;卫生间保洁;②垃圾清理方案包括:垃圾桶卫生保洁、垃圾分类与收集、生活垃圾清理外运等。 有详细的保洁服务方案，具有专业的保洁人员，保洁时间安排合理等，全面可行，得10分; 方案较为详细、全面，具有可行性，得6分; 描述模糊、操作性较差，得3分。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环境保洁服务方案.docx</w:t>
            </w:r>
          </w:p>
        </w:tc>
      </w:tr>
      <w:tr>
        <w:tc>
          <w:tcPr>
            <w:tcW w:type="dxa" w:w="831"/>
            <w:vMerge/>
          </w:tcPr>
          <w:p/>
        </w:tc>
        <w:tc>
          <w:tcPr>
            <w:tcW w:type="dxa" w:w="1661"/>
          </w:tcPr>
          <w:p>
            <w:pPr>
              <w:pStyle w:val="null3"/>
            </w:pPr>
            <w:r>
              <w:rPr>
                <w:rFonts w:ascii="仿宋_GB2312" w:hAnsi="仿宋_GB2312" w:cs="仿宋_GB2312" w:eastAsia="仿宋_GB2312"/>
              </w:rPr>
              <w:t>安保服务方案</w:t>
            </w:r>
          </w:p>
        </w:tc>
        <w:tc>
          <w:tcPr>
            <w:tcW w:type="dxa" w:w="2492"/>
          </w:tcPr>
          <w:p>
            <w:pPr>
              <w:pStyle w:val="null3"/>
            </w:pPr>
            <w:r>
              <w:rPr>
                <w:rFonts w:ascii="仿宋_GB2312" w:hAnsi="仿宋_GB2312" w:cs="仿宋_GB2312" w:eastAsia="仿宋_GB2312"/>
              </w:rPr>
              <w:t>针对本项目提出安保服务方案，方案包括:①门岗执勤②秩序维护 ③巡逻服务④车辆管理。 具有详细的时间安排、人员安排、组织实施计划等全面可行，得5分; 方案较为详细、全面，具有可行性，得3分; 描述模糊、操作性较差，得1分。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安保服务方案.docx</w:t>
            </w:r>
          </w:p>
        </w:tc>
      </w:tr>
      <w:tr>
        <w:tc>
          <w:tcPr>
            <w:tcW w:type="dxa" w:w="831"/>
            <w:vMerge/>
          </w:tcPr>
          <w:p/>
        </w:tc>
        <w:tc>
          <w:tcPr>
            <w:tcW w:type="dxa" w:w="1661"/>
          </w:tcPr>
          <w:p>
            <w:pPr>
              <w:pStyle w:val="null3"/>
            </w:pPr>
            <w:r>
              <w:rPr>
                <w:rFonts w:ascii="仿宋_GB2312" w:hAnsi="仿宋_GB2312" w:cs="仿宋_GB2312" w:eastAsia="仿宋_GB2312"/>
              </w:rPr>
              <w:t>公共设施设备维修养护服务方案</w:t>
            </w:r>
          </w:p>
        </w:tc>
        <w:tc>
          <w:tcPr>
            <w:tcW w:type="dxa" w:w="2492"/>
          </w:tcPr>
          <w:p>
            <w:pPr>
              <w:pStyle w:val="null3"/>
            </w:pPr>
            <w:r>
              <w:rPr>
                <w:rFonts w:ascii="仿宋_GB2312" w:hAnsi="仿宋_GB2312" w:cs="仿宋_GB2312" w:eastAsia="仿宋_GB2312"/>
              </w:rPr>
              <w:t>针对本项目提出设施设备维护方案，方案包含:①房屋维修与消防设施养护②水、电、暖维护③空调维护④电梯维护⑤消防设施维护。 方案完整、科学，具有详细的操作流程说明、组织实施计划等，全面可行，得10分; 方案较为详细、全面，具有可行性，得6分; 描述模糊、操作性较差，得3分。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公共设施设备维修养护服务方案.docx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物业管理可能发生的突发事件，控制或消除其可能造成的后果和影响，预先制定的管理操作方案，预案内容包含:①自然极端天气的预防与处置:暴雨、暴雪、雷电、大风、大雾、地震;②紧急情况的预防处置:供电系统故障、给排水系统故障、消防应急;③突发事件的预防及处置:盗窃、寻衅滋事、违法事件、治安应急。④重点工作:上级卫生临检、大型活动或临时性活动配合方案。 各类情况考虑较为周全，措施得当，应急响应高效，得5分; 各类情况尚能提供一定的应对措施，基本能够保障应急所需，得3分; 各类情况考虑欠妥，难以保障应急需求，或需要优化后才能满足项目需要得1分。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服务质量管理</w:t>
            </w:r>
          </w:p>
        </w:tc>
        <w:tc>
          <w:tcPr>
            <w:tcW w:type="dxa" w:w="2492"/>
          </w:tcPr>
          <w:p>
            <w:pPr>
              <w:pStyle w:val="null3"/>
            </w:pPr>
            <w:r>
              <w:rPr>
                <w:rFonts w:ascii="仿宋_GB2312" w:hAnsi="仿宋_GB2312" w:cs="仿宋_GB2312" w:eastAsia="仿宋_GB2312"/>
              </w:rPr>
              <w:t>提供针对本项目的服务质量保证措施，包括但不限于:①岗位职责、岗位工作质量标准、服务质量控制方案;②培训制度、问责机制、监督机制、自查制度;③员工日常管理办法，如仪容仪表管理、请销假制度、考核制度、奖惩等激励机制。 措施有效、可行性强，得10分; 措施具有一定有效性、可行性，得6分; 措施不具有可行性，得3分。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服务质量管理.docx</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有健全的企业服务标准、保密制度、廉洁敬业制度、安全管理制度、档案管理制度、管理组织机构等。 各项管理制度规范完善、科学有效，得5分; 各类规章制度基本健全，具有一定可操作性，得3分; 规章制度制定笼统、可行性差，得1分。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企业管理制度.docx</w:t>
            </w:r>
          </w:p>
        </w:tc>
      </w:tr>
      <w:tr>
        <w:tc>
          <w:tcPr>
            <w:tcW w:type="dxa" w:w="831"/>
            <w:vMerge/>
          </w:tcPr>
          <w:p/>
        </w:tc>
        <w:tc>
          <w:tcPr>
            <w:tcW w:type="dxa" w:w="1661"/>
          </w:tcPr>
          <w:p>
            <w:pPr>
              <w:pStyle w:val="null3"/>
            </w:pPr>
            <w:r>
              <w:rPr>
                <w:rFonts w:ascii="仿宋_GB2312" w:hAnsi="仿宋_GB2312" w:cs="仿宋_GB2312" w:eastAsia="仿宋_GB2312"/>
              </w:rPr>
              <w:t>耗材、工具、装备投入方案</w:t>
            </w:r>
          </w:p>
        </w:tc>
        <w:tc>
          <w:tcPr>
            <w:tcW w:type="dxa" w:w="2492"/>
          </w:tcPr>
          <w:p>
            <w:pPr>
              <w:pStyle w:val="null3"/>
            </w:pPr>
            <w:r>
              <w:rPr>
                <w:rFonts w:ascii="仿宋_GB2312" w:hAnsi="仿宋_GB2312" w:cs="仿宋_GB2312" w:eastAsia="仿宋_GB2312"/>
              </w:rPr>
              <w:t>物业办公、清洁保洁、绿化养护、保安服务、工程维修相关设备、装备、用具、易耗品品目内容分列详细、配备合理，满足本项目的使用要求。 品类分列清晰、配置合理、选材环保、设备先进，能够很好地满足本项目的服务要求，得5分; 品类分列清晰、配置较为合理，基本满足使用要求，得3分; 配置难以满足项目要求，得1分。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耗材、工具、装备投入方案.docx</w:t>
            </w:r>
          </w:p>
        </w:tc>
      </w:tr>
      <w:tr>
        <w:tc>
          <w:tcPr>
            <w:tcW w:type="dxa" w:w="831"/>
            <w:vMerge/>
          </w:tcPr>
          <w:p/>
        </w:tc>
        <w:tc>
          <w:tcPr>
            <w:tcW w:type="dxa" w:w="1661"/>
          </w:tcPr>
          <w:p>
            <w:pPr>
              <w:pStyle w:val="null3"/>
            </w:pPr>
            <w:r>
              <w:rPr>
                <w:rFonts w:ascii="仿宋_GB2312" w:hAnsi="仿宋_GB2312" w:cs="仿宋_GB2312" w:eastAsia="仿宋_GB2312"/>
              </w:rPr>
              <w:t>项目经理要求</w:t>
            </w:r>
          </w:p>
        </w:tc>
        <w:tc>
          <w:tcPr>
            <w:tcW w:type="dxa" w:w="2492"/>
          </w:tcPr>
          <w:p>
            <w:pPr>
              <w:pStyle w:val="null3"/>
            </w:pPr>
            <w:r>
              <w:rPr>
                <w:rFonts w:ascii="仿宋_GB2312" w:hAnsi="仿宋_GB2312" w:cs="仿宋_GB2312" w:eastAsia="仿宋_GB2312"/>
              </w:rPr>
              <w:t>①具有类似物业项目管理层工作经验，满3年的，得1分;每增加一年加1分;本项最高得3分(提供相关证明资料或履历说明作为计分依据)。 ②.具备大专及以上学历，(提供相关证明资料）得2分。 (注:关键岗位人员(如保洁/工程/保安主管等)可参照以上内容对人员相关工作经验、学历、资格/职称《若有)附相关资料)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项目经理要求.docx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包括管理组织架构、技术骨干的配置、员工数量、素质标准(年龄、学历、相关工作经验、专业资格、所获荣誉等情况等)。 优于采购需求且描述详细、全面，得10分; 人员配备基本齐全，基本满足采购需求，得6分; 人员配备较差，经验较少，得3分。 人员配备不满足要求或未提供不得分。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人员配备情况.docx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①.承诺:储备可调度人员，调度人员可保障重大活动、突发事件的临时任务调度需要，且不增加费用，得2分，无承诺不得分。 ②.承诺:服务人员因事、病不能到岗3个工作日以上，第四个工作日请调其他服务人员补充，确保服务工作的正常进行，得1分，无承诺不得分。 ③.承诺:接受采购人对服务的考核、监督及管理，得1分。无承诺不得分。 ④.承诺:定期调研采购人对服务质量的满意度并加以改进，确保服务工作的优质高效，得1分。无承诺不得分。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以合同签订之日为准)以来类似项目的业绩证明文件(即合同，及服务期内任意一张发票，两者同时出具方为有效)，评审时以业绩证明文件:扫描件为计分依据，每出具一份业绩证明文件得5分，满分10分. 注:1.同一甲方项目不重复得分，仅计分一次;2.合同附合同关键页(至少包括首页、标的页、金额页、双方签字盖章页)。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竞争性磋商文件要求且最后报价最低的磋商报价为评标基准价，其价格分为满分。其他供应商的价格分统一按照下列公式计算： 磋商报价得分=(磋商基准价／磋商报价)×价格权值（即10%）×100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详见附件：安保服务方案.docx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详见附件：服务内容及服务要求响应偏离表.docx</w:t>
      </w:r>
    </w:p>
    <w:p>
      <w:pPr>
        <w:pStyle w:val="null3"/>
        <w:ind w:firstLine="960"/>
      </w:pPr>
      <w:r>
        <w:rPr>
          <w:rFonts w:ascii="仿宋_GB2312" w:hAnsi="仿宋_GB2312" w:cs="仿宋_GB2312" w:eastAsia="仿宋_GB2312"/>
        </w:rPr>
        <w:t>详见附件：服务质量管理.docx</w:t>
      </w:r>
    </w:p>
    <w:p>
      <w:pPr>
        <w:pStyle w:val="null3"/>
        <w:ind w:firstLine="960"/>
      </w:pPr>
      <w:r>
        <w:rPr>
          <w:rFonts w:ascii="仿宋_GB2312" w:hAnsi="仿宋_GB2312" w:cs="仿宋_GB2312" w:eastAsia="仿宋_GB2312"/>
        </w:rPr>
        <w:t>详见附件：公共设施设备维修养护服务方案.docx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详见附件：耗材、工具、装备投入方案.docx</w:t>
      </w:r>
    </w:p>
    <w:p>
      <w:pPr>
        <w:pStyle w:val="null3"/>
        <w:ind w:firstLine="960"/>
      </w:pPr>
      <w:r>
        <w:rPr>
          <w:rFonts w:ascii="仿宋_GB2312" w:hAnsi="仿宋_GB2312" w:cs="仿宋_GB2312" w:eastAsia="仿宋_GB2312"/>
        </w:rPr>
        <w:t>详见附件：环境保洁服务方案.docx</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详见附件：企业管理制度.docx</w:t>
      </w:r>
    </w:p>
    <w:p>
      <w:pPr>
        <w:pStyle w:val="null3"/>
        <w:ind w:firstLine="960"/>
      </w:pPr>
      <w:r>
        <w:rPr>
          <w:rFonts w:ascii="仿宋_GB2312" w:hAnsi="仿宋_GB2312" w:cs="仿宋_GB2312" w:eastAsia="仿宋_GB2312"/>
        </w:rPr>
        <w:t>详见附件：人员配备情况.docx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详见附件：物业服务总体方案.docx</w:t>
      </w:r>
    </w:p>
    <w:p>
      <w:pPr>
        <w:pStyle w:val="null3"/>
        <w:ind w:firstLine="960"/>
      </w:pPr>
      <w:r>
        <w:rPr>
          <w:rFonts w:ascii="仿宋_GB2312" w:hAnsi="仿宋_GB2312" w:cs="仿宋_GB2312" w:eastAsia="仿宋_GB2312"/>
        </w:rPr>
        <w:t>详见附件：项目经理要求.docx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详见附件：营业执照法定代表人授权委托书.docx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详见附件：物业服务采购合同范本.docx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