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1DB67">
      <w:pPr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4"/>
          <w:lang w:eastAsia="zh-CN"/>
        </w:rPr>
        <w:t>业绩</w:t>
      </w:r>
    </w:p>
    <w:p w14:paraId="14450CA4">
      <w:pPr>
        <w:rPr>
          <w:rFonts w:hint="eastAsia" w:ascii="宋体" w:hAnsi="宋体" w:eastAsia="宋体" w:cs="宋体"/>
          <w:b/>
          <w:color w:val="auto"/>
          <w:szCs w:val="24"/>
        </w:rPr>
      </w:pPr>
    </w:p>
    <w:p w14:paraId="007F63A1">
      <w:pPr>
        <w:rPr>
          <w:rFonts w:hint="eastAsia"/>
        </w:rPr>
      </w:pPr>
      <w:r>
        <w:rPr>
          <w:rFonts w:hint="eastAsia"/>
        </w:rPr>
        <w:t>近三年类似项目业绩（服务）</w:t>
      </w:r>
    </w:p>
    <w:p w14:paraId="66B21EA4">
      <w:pPr>
        <w:pStyle w:val="4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提供供应商2023年1月1日(以合同签订之日为准)以来类似项目的业绩证明文件(即合同，及服务期内任意一张发票，两者同时出具方为有效)，评审时以业绩证明文件:扫描件为计分依据，每出具一份业绩证明文件得5分，满分10分.</w:t>
      </w:r>
    </w:p>
    <w:p w14:paraId="11E24D18"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注:1.同一甲方项目不重复得分，仅计分一次;2.合同附合同关键页(至少包括首页、标的页、金额页、双方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签字盖章页)。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532509EF"/>
    <w:rsid w:val="097C652A"/>
    <w:rsid w:val="189F7F59"/>
    <w:rsid w:val="2DAB170C"/>
    <w:rsid w:val="43014253"/>
    <w:rsid w:val="532509EF"/>
    <w:rsid w:val="5985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49</Characters>
  <Lines>0</Lines>
  <Paragraphs>0</Paragraphs>
  <TotalTime>0</TotalTime>
  <ScaleCrop>false</ScaleCrop>
  <LinksUpToDate>false</LinksUpToDate>
  <CharactersWithSpaces>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2023-08-03T06:38:00Z</dcterms:created>
  <dc:creator>®lucky</dc:creator>
  <cp:lastModifiedBy>✎﹏ℳ๓₯㎕٩ゞ殘༒</cp:lastModifiedBy>
  <dcterms:modified xsi:type="dcterms:W3CDTF">2026-03-13T03:09:40Z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672C87C35F5E4962969EDE6A67D06568_11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