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版本号：YSGS-2026ZB012620260304001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灞桥区河道堤防补助项目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YSGS-2026ZB0126</w:t>
      </w:r>
      <w:r>
        <w:br/>
      </w:r>
      <w:r>
        <w:br/>
      </w:r>
      <w:r>
        <w:br/>
      </w:r>
    </w:p>
    <w:p>
      <w:pPr>
        <w:pStyle w:val="null3"/>
        <w:jc w:val="center"/>
        <w:outlineLvl w:val="2"/>
      </w:pPr>
      <w:r>
        <w:rPr>
          <w:rFonts w:ascii="仿宋_GB2312" w:hAnsi="仿宋_GB2312" w:cs="仿宋_GB2312" w:eastAsia="仿宋_GB2312"/>
          <w:sz w:val="28"/>
          <w:b/>
        </w:rPr>
        <w:t>西安市灞桥区水务局</w:t>
      </w:r>
    </w:p>
    <w:p>
      <w:pPr>
        <w:pStyle w:val="null3"/>
        <w:jc w:val="center"/>
        <w:outlineLvl w:val="2"/>
      </w:pPr>
      <w:r>
        <w:rPr>
          <w:rFonts w:ascii="仿宋_GB2312" w:hAnsi="仿宋_GB2312" w:cs="仿宋_GB2312" w:eastAsia="仿宋_GB2312"/>
          <w:sz w:val="28"/>
          <w:b/>
        </w:rPr>
        <w:t>陕西衍森项目管理有限公司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陕西衍森项目管理有限公司</w:t>
      </w:r>
      <w:r>
        <w:rPr>
          <w:rFonts w:ascii="仿宋_GB2312" w:hAnsi="仿宋_GB2312" w:cs="仿宋_GB2312" w:eastAsia="仿宋_GB2312"/>
        </w:rPr>
        <w:t>（以下简称“代理机构”）受</w:t>
      </w:r>
      <w:r>
        <w:rPr>
          <w:rFonts w:ascii="仿宋_GB2312" w:hAnsi="仿宋_GB2312" w:cs="仿宋_GB2312" w:eastAsia="仿宋_GB2312"/>
        </w:rPr>
        <w:t>西安市灞桥区水务局</w:t>
      </w:r>
      <w:r>
        <w:rPr>
          <w:rFonts w:ascii="仿宋_GB2312" w:hAnsi="仿宋_GB2312" w:cs="仿宋_GB2312" w:eastAsia="仿宋_GB2312"/>
        </w:rPr>
        <w:t>委托，拟对</w:t>
      </w:r>
      <w:r>
        <w:rPr>
          <w:rFonts w:ascii="仿宋_GB2312" w:hAnsi="仿宋_GB2312" w:cs="仿宋_GB2312" w:eastAsia="仿宋_GB2312"/>
        </w:rPr>
        <w:t>灞桥区河道堤防补助项目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YSGS-2026ZB0126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灞桥区河道堤防补助项目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灞桥区河道堤防补助项目：对灞河东李桥段堤顶路进行维修，面积约200平方米。安装照明设施8米双臂灯3套、8米单臂路灯7套，庭院灯7套；更换8米高路灯灯头20个、庭院灯灯头13个、灯底座7个。配备高清球形摄像头及堤顶路限高门架；对浐河红旗驿段堤顶道路进行修复，面积约314平方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采购包1（采购包1）：属于专门面向中小企业采购。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登记注册证：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pPr>
        <w:pStyle w:val="null3"/>
      </w:pPr>
      <w:r>
        <w:rPr>
          <w:rFonts w:ascii="仿宋_GB2312" w:hAnsi="仿宋_GB2312" w:cs="仿宋_GB2312" w:eastAsia="仿宋_GB2312"/>
        </w:rPr>
        <w:t>2、财务状况报告：两种形式任选一种，提供2024年度或2025年度经审计的财务报告（成立时间至提交响应文件截止时间不足一年的可提供成立后任意时段的资产负债表），或开标前六个月内其基本存款账户开户银行出具的资信证明及基本存款账户的相关证明材料。（评审依据：经审计的财务报告，指的是由第三方机构进行审计并出具审计意见，报告附含能证明财务状况的财务报表即可（至少包含资产负债表、利润表、现金流量表））；</w:t>
      </w:r>
    </w:p>
    <w:p>
      <w:pPr>
        <w:pStyle w:val="null3"/>
      </w:pPr>
      <w:r>
        <w:rPr>
          <w:rFonts w:ascii="仿宋_GB2312" w:hAnsi="仿宋_GB2312" w:cs="仿宋_GB2312" w:eastAsia="仿宋_GB2312"/>
        </w:rPr>
        <w:t>3、税收缴纳证明：提供2025年10月至今已缴纳的至少一个月的纳税证明或完税证明，依法免税的单位应提供相关证明材料；</w:t>
      </w:r>
    </w:p>
    <w:p>
      <w:pPr>
        <w:pStyle w:val="null3"/>
      </w:pPr>
      <w:r>
        <w:rPr>
          <w:rFonts w:ascii="仿宋_GB2312" w:hAnsi="仿宋_GB2312" w:cs="仿宋_GB2312" w:eastAsia="仿宋_GB2312"/>
        </w:rPr>
        <w:t>4、社会保障资金缴纳证明：提供2025年10月至今已缴存的至少一个月的社会保险参保缴费情况证明，依法不需要缴纳社会保障资金的单位应提供相关证明材料；</w:t>
      </w:r>
    </w:p>
    <w:p>
      <w:pPr>
        <w:pStyle w:val="null3"/>
      </w:pPr>
      <w:r>
        <w:rPr>
          <w:rFonts w:ascii="仿宋_GB2312" w:hAnsi="仿宋_GB2312" w:cs="仿宋_GB2312" w:eastAsia="仿宋_GB2312"/>
        </w:rPr>
        <w:t>5、具有履行合同所必须的设备和专业技术能力的承诺：提供具有履行合同所必需的设备和专业技术能力的承诺；</w:t>
      </w:r>
    </w:p>
    <w:p>
      <w:pPr>
        <w:pStyle w:val="null3"/>
      </w:pPr>
      <w:r>
        <w:rPr>
          <w:rFonts w:ascii="仿宋_GB2312" w:hAnsi="仿宋_GB2312" w:cs="仿宋_GB2312" w:eastAsia="仿宋_GB2312"/>
        </w:rPr>
        <w:t>6、法定代表人(主要责任人)委托授权书/身份证明：法定代表人授权书(附法定代表人、被授权人身份证复印件)及被授权人身份证(法定代表人直接参加磋商，须提供法定代表人身份证明及身份证原件)；</w:t>
      </w:r>
    </w:p>
    <w:p>
      <w:pPr>
        <w:pStyle w:val="null3"/>
      </w:pPr>
      <w:r>
        <w:rPr>
          <w:rFonts w:ascii="仿宋_GB2312" w:hAnsi="仿宋_GB2312" w:cs="仿宋_GB2312" w:eastAsia="仿宋_GB2312"/>
        </w:rPr>
        <w:t>7、无重大违法记录的书面声明：出具参加政府采购活动前3年内在经营活动中没有重大违法记录的书面声明；</w:t>
      </w:r>
    </w:p>
    <w:p>
      <w:pPr>
        <w:pStyle w:val="null3"/>
      </w:pPr>
      <w:r>
        <w:rPr>
          <w:rFonts w:ascii="仿宋_GB2312" w:hAnsi="仿宋_GB2312" w:cs="仿宋_GB2312" w:eastAsia="仿宋_GB2312"/>
        </w:rPr>
        <w:t>8、信誉要求：供应商应在中国执行信息公开网网站(http://zxgk.Court.gov.cn/中未列入失信被执行人，在信用中国网站(www.creditchina.gov.cn)中未列入重大税收违法失信主体，在中国政府采购网(www.ccgp.gov.cn)未被列入政府采购严重失信行为记录名单(处罚期限届满的除外，如相关失信记录已失效，供应商需提供相关证明资料；磋商当天代理公司核查为准，供应商无需提供)。</w:t>
      </w:r>
    </w:p>
    <w:p>
      <w:pPr>
        <w:pStyle w:val="null3"/>
      </w:pPr>
      <w:r>
        <w:rPr>
          <w:rFonts w:ascii="仿宋_GB2312" w:hAnsi="仿宋_GB2312" w:cs="仿宋_GB2312" w:eastAsia="仿宋_GB2312"/>
        </w:rPr>
        <w:t>9、资质要求：供应商须具备水利水电工程施工总承包三级及以上资质，具备有效的安全生产许可证；</w:t>
      </w:r>
    </w:p>
    <w:p>
      <w:pPr>
        <w:pStyle w:val="null3"/>
      </w:pPr>
      <w:r>
        <w:rPr>
          <w:rFonts w:ascii="仿宋_GB2312" w:hAnsi="仿宋_GB2312" w:cs="仿宋_GB2312" w:eastAsia="仿宋_GB2312"/>
        </w:rPr>
        <w:t>10、项目经理资格要求：拟派项目经理须具备水利水电工程专业二级及以上注册建造师资格，且具有有效的安全生产考核合格证书，且无在建项目(提供无在建工程承诺书)；</w:t>
      </w:r>
    </w:p>
    <w:p>
      <w:pPr>
        <w:pStyle w:val="null3"/>
      </w:pPr>
      <w:r>
        <w:rPr>
          <w:rFonts w:ascii="仿宋_GB2312" w:hAnsi="仿宋_GB2312" w:cs="仿宋_GB2312" w:eastAsia="仿宋_GB2312"/>
        </w:rPr>
        <w:t>11、本项目不接受联合体磋商：本项目不接受联合体磋商。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西安市灞桥区水务局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纺一路809号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关雨杰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15353687796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陕西衍森项目管理有限公司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陕西省西安市灞桥区陕西省西安市浐灞生态区欧亚大道3399号欧亚国际一期B座0712室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张乐、刘敏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13259952916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西安市灞桥区财政局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唐鹏翙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029-83519160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采购包1：751,739.00元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委托人与受托人约定：中标（成交）服务费参照《国家计委关于印发，&lt;招标代理服务收费管理暂行办法&gt;的通知》（计价格【2002】1980号）及《国家发展和改革委员会办公厅关于招标代理服务收费有关问题的通知》（发改办价格〔2003〕857号）文件中工程类收费标准收取，由中标（成交）供应商向受托人支付。</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西安市灞桥区水务局</w:t>
      </w:r>
      <w:r>
        <w:rPr>
          <w:rFonts w:ascii="仿宋_GB2312" w:hAnsi="仿宋_GB2312" w:cs="仿宋_GB2312" w:eastAsia="仿宋_GB2312"/>
        </w:rPr>
        <w:t>和</w:t>
      </w:r>
      <w:r>
        <w:rPr>
          <w:rFonts w:ascii="仿宋_GB2312" w:hAnsi="仿宋_GB2312" w:cs="仿宋_GB2312" w:eastAsia="仿宋_GB2312"/>
        </w:rPr>
        <w:t>陕西衍森项目管理有限公司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西安市灞桥区水务局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陕西衍森项目管理有限公司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西安市灞桥区水务局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陕西衍森项目管理有限公司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陕西衍森项目管理有限公司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陕西衍森项目管理有限公司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陕西衍森项目管理有限公司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联系人：张乐、刘敏</w:t>
      </w:r>
    </w:p>
    <w:p>
      <w:pPr>
        <w:pStyle w:val="null3"/>
      </w:pPr>
      <w:r>
        <w:rPr>
          <w:rFonts w:ascii="仿宋_GB2312" w:hAnsi="仿宋_GB2312" w:cs="仿宋_GB2312" w:eastAsia="仿宋_GB2312"/>
        </w:rPr>
        <w:t>联系电话：029-68325822</w:t>
      </w:r>
    </w:p>
    <w:p>
      <w:pPr>
        <w:pStyle w:val="null3"/>
      </w:pPr>
      <w:r>
        <w:rPr>
          <w:rFonts w:ascii="仿宋_GB2312" w:hAnsi="仿宋_GB2312" w:cs="仿宋_GB2312" w:eastAsia="仿宋_GB2312"/>
        </w:rPr>
        <w:t>地址：陕西省西安市浐灞生态区欧亚大道3399号欧亚国际一期B座0712室</w:t>
      </w:r>
    </w:p>
    <w:p>
      <w:pPr>
        <w:pStyle w:val="null3"/>
      </w:pPr>
      <w:r>
        <w:rPr>
          <w:rFonts w:ascii="仿宋_GB2312" w:hAnsi="仿宋_GB2312" w:cs="仿宋_GB2312" w:eastAsia="仿宋_GB2312"/>
        </w:rPr>
        <w:t>邮编：710024</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751,739.00</w:t>
      </w:r>
    </w:p>
    <w:p>
      <w:pPr>
        <w:pStyle w:val="null3"/>
      </w:pPr>
      <w:r>
        <w:rPr>
          <w:rFonts w:ascii="仿宋_GB2312" w:hAnsi="仿宋_GB2312" w:cs="仿宋_GB2312" w:eastAsia="仿宋_GB2312"/>
        </w:rPr>
        <w:t>采购包最高限价（元）: 751,739.00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灞桥区河道堤防补助项目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751,739.00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标的名称：灞桥区河道堤防补助项目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一、工程概况</w:t>
            </w:r>
          </w:p>
          <w:p>
            <w:pPr>
              <w:pStyle w:val="null3"/>
            </w:pPr>
            <w:r>
              <w:rPr>
                <w:rFonts w:ascii="仿宋_GB2312" w:hAnsi="仿宋_GB2312" w:cs="仿宋_GB2312" w:eastAsia="仿宋_GB2312"/>
              </w:rPr>
              <w:t>本次河道堤防维护工程主要涉及灞河、浐河两大区域，其中灞河堤防维修段起点为东李桥，终点至灞桥区与蓝田县交界处的灞河左岸堤顶道路，总长度3.5km，该段主要维修及建设内容包括堤顶道路维修4处(共计201</w:t>
            </w:r>
            <w:r>
              <w:rPr>
                <w:rFonts w:ascii="仿宋_GB2312" w:hAnsi="仿宋_GB2312" w:cs="仿宋_GB2312" w:eastAsia="仿宋_GB2312"/>
                <w:sz w:val="21"/>
              </w:rPr>
              <w:t>㎡</w:t>
            </w:r>
            <w:r>
              <w:rPr>
                <w:rFonts w:ascii="仿宋_GB2312" w:hAnsi="仿宋_GB2312" w:cs="仿宋_GB2312" w:eastAsia="仿宋_GB2312"/>
              </w:rPr>
              <w:t>)、照明设施安装(8m高双臂路灯3套、8m高单臂路灯7套、庭院灯7套)、照明配件更换(8m高路灯灯头20个、庭院灯灯头13个、8m高路灯底座2个、4m高路灯底座5个)以及其他设施建设(安装高清球机摄像头1台、新建3.2m高限高门架1座);浐河堤防维修段起点位于浐河东路红旗驿下游500m处，终点至浐河东路跨鲸鱼沟桥区域，核心维修内容为堤顶道路维修，长度1.5km，共计6处，维修总面积314</w:t>
            </w:r>
            <w:r>
              <w:rPr>
                <w:rFonts w:ascii="仿宋_GB2312" w:hAnsi="仿宋_GB2312" w:cs="仿宋_GB2312" w:eastAsia="仿宋_GB2312"/>
                <w:sz w:val="21"/>
              </w:rPr>
              <w:t>㎡</w:t>
            </w:r>
            <w:r>
              <w:rPr>
                <w:rFonts w:ascii="仿宋_GB2312" w:hAnsi="仿宋_GB2312" w:cs="仿宋_GB2312" w:eastAsia="仿宋_GB2312"/>
              </w:rPr>
              <w:t>。施工总工期：1个月。</w:t>
            </w:r>
          </w:p>
          <w:p>
            <w:pPr>
              <w:pStyle w:val="null3"/>
            </w:pPr>
            <w:r>
              <w:rPr>
                <w:rFonts w:ascii="仿宋_GB2312" w:hAnsi="仿宋_GB2312" w:cs="仿宋_GB2312" w:eastAsia="仿宋_GB2312"/>
              </w:rPr>
              <w:t>二、施工要求</w:t>
            </w:r>
          </w:p>
          <w:p>
            <w:pPr>
              <w:pStyle w:val="null3"/>
            </w:pPr>
            <w:r>
              <w:rPr>
                <w:rFonts w:ascii="仿宋_GB2312" w:hAnsi="仿宋_GB2312" w:cs="仿宋_GB2312" w:eastAsia="仿宋_GB2312"/>
              </w:rPr>
              <w:t>在施工期间，中标供应商必须注意人员安全，加强安全措施，并对施工人员进行安全教育。施工人员必须持证上岗。因采购人工作的特殊性，要求中标供应商在施工中做到封闭性施工。</w:t>
            </w:r>
          </w:p>
          <w:p>
            <w:pPr>
              <w:pStyle w:val="null3"/>
            </w:pPr>
            <w:r>
              <w:rPr>
                <w:rFonts w:ascii="仿宋_GB2312" w:hAnsi="仿宋_GB2312" w:cs="仿宋_GB2312" w:eastAsia="仿宋_GB2312"/>
              </w:rPr>
              <w:t>三、工程量清单</w:t>
            </w:r>
          </w:p>
          <w:p>
            <w:pPr>
              <w:pStyle w:val="null3"/>
            </w:pPr>
            <w:r>
              <w:rPr>
                <w:rFonts w:ascii="仿宋_GB2312" w:hAnsi="仿宋_GB2312" w:cs="仿宋_GB2312" w:eastAsia="仿宋_GB2312"/>
              </w:rPr>
              <w:t>（详见附件）</w:t>
            </w:r>
          </w:p>
          <w:p>
            <w:pPr>
              <w:pStyle w:val="null3"/>
            </w:pPr>
            <w:r>
              <w:rPr>
                <w:rFonts w:ascii="仿宋_GB2312" w:hAnsi="仿宋_GB2312" w:cs="仿宋_GB2312" w:eastAsia="仿宋_GB2312"/>
              </w:rPr>
              <w:t xml:space="preserve"> </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质量达到合格标准，并满足国家相关标准、规范及有关技术文件要求。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1、本工程采用本项目采用天宇ｅ算水利水电工程概预算系统V1.2.2（西安市招投标）； 2、最高限价编制依据：（1）《灞桥区河道提防补助项目实施方案》；（2）依据《关于发布《陕西省水利工程设计概(估)算编制规定》《陕西省水利建筑工程概算定额》 （2024 年修正）等计价依据的通知》（陕水规计发〔2024〕107 号），《编规》和《系列定额》（2024 年修正）、《陕西省水利建筑工程预算定额》、《陕西省水利设备安装工程预算定额》、《陕西省水利工程施工机械台班费定额》的通知”、“陕西省水利水电工程营业税改增值税计价依据调整办法(办水总[2016]132)”、“水利部办公厅关于调整水利工程计价依据增值税计算标准的通知(办财务函(2019)448号)”等现行水利水电工程的计价依据。（3）材料价格采用工程所在地2025年第四季度价格水平及结合市场价； 3、临时工程中包含施工安全生产专项、其他施工临时工程费等费用，施工安全生产专项费用按2.5%计入，其他施工临时工程按2%计入； 4、本项目无暂列金和工程保险费。 5、图纸：有。</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供应商获取招标文件的，如不参与项目投标，应在递交投标文件递交截止时间前一日以书面形式告知采购代理机构。否则，采购代理机构可以向财政部门反映情况并提供相应的佐证。供应商一年内累计出现三次该情形,将被监管部门记录为失信行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报告（成立时间至提交投标文件截止时间不足一年的可提供成立后任意时段的资产负债表），或提交开标日期前六个月内银行出具的资信证明，或信用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监狱企业的证明文件.docx 中小企业声明函.docx 残疾人福利性单位声明函</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有效的登记注册证</w:t>
            </w:r>
          </w:p>
        </w:tc>
        <w:tc>
          <w:tcPr>
            <w:tcW w:type="dxa" w:w="3322"/>
          </w:tcPr>
          <w:p>
            <w:pPr>
              <w:pStyle w:val="null3"/>
            </w:pPr>
            <w:r>
              <w:rPr>
                <w:rFonts w:ascii="仿宋_GB2312" w:hAnsi="仿宋_GB2312" w:cs="仿宋_GB2312" w:eastAsia="仿宋_GB2312"/>
              </w:rPr>
              <w:t>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两种形式任选一种，提供2024年度或2025年度经审计的财务报告（成立时间至提交响应文件截止时间不足一年的可提供成立后任意时段的资产负债表），或开标前六个月内其基本存款账户开户银行出具的资信证明及基本存款账户的相关证明材料。（评审依据：经审计的财务报告，指的是由第三方机构进行审计并出具审计意见，报告附含能证明财务状况的财务报表即可（至少包含资产负债表、利润表、现金流量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提供2025年10月至今已缴纳的至少一个月的纳税证明或完税证明，依法免税的单位应提供相关证明材料；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提供2025年10月至今已缴存的至少一个月的社会保险参保缴费情况证明，依法不需要缴纳社会保障资金的单位应提供相关证明材料；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具有履行合同所必须的设备和专业技术能力的承诺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法定代表人(主要责任人)委托授权书/身份证明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法定代表人授权书(附法定代表人、被授权人身份证复印件)及被授权人身份证(法定代表人直接参加磋商，须提供法定代表人身份证明及身份证原件)；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出具参加政府采购活动前3年内在经营活动中没有重大违法记录的书面声明；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应在中国执行信息公开网网站(http://zxgk.Court.gov.cn/中未列入失信被执行人，在信用中国网站(www.creditchina.gov.cn)中未列入重大税收违法失信主体，在中国政府采购网(www.ccgp.gov.cn)未被列入政府采购严重失信行为记录名单(处罚期限届满的除外，如相关失信记录已失效，供应商需提供相关证明资料；磋商当天代理公司核查为准，供应商无需提供)。</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供应商须具备水利水电工程施工总承包三级及以上资质，具备有效的安全生产许可证；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项目经理资格要求</w:t>
            </w:r>
          </w:p>
        </w:tc>
        <w:tc>
          <w:tcPr>
            <w:tcW w:type="dxa" w:w="3322"/>
          </w:tcPr>
          <w:p>
            <w:pPr>
              <w:pStyle w:val="null3"/>
            </w:pPr>
            <w:r>
              <w:rPr>
                <w:rFonts w:ascii="仿宋_GB2312" w:hAnsi="仿宋_GB2312" w:cs="仿宋_GB2312" w:eastAsia="仿宋_GB2312"/>
              </w:rPr>
              <w:t>拟派项目经理须具备水利水电工程专业二级及以上注册建造师资格，且具有有效的安全生产考核合格证书，且无在建项目(提供无在建工程承诺书)；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 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 磋商小组应当将其响应文件作为无效处理。</w:t>
            </w:r>
          </w:p>
        </w:tc>
        <w:tc>
          <w:tcPr>
            <w:tcW w:type="dxa" w:w="1661"/>
          </w:tcPr>
          <w:p>
            <w:pPr>
              <w:pStyle w:val="null3"/>
            </w:pPr>
            <w:r>
              <w:rPr>
                <w:rFonts w:ascii="仿宋_GB2312" w:hAnsi="仿宋_GB2312" w:cs="仿宋_GB2312" w:eastAsia="仿宋_GB2312"/>
              </w:rPr>
              <w:t>已标价工程量清单 报价函 标的清单 供应商承诺书.docx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投标（响应）文件的签字盖章符合性</w:t>
            </w:r>
          </w:p>
        </w:tc>
        <w:tc>
          <w:tcPr>
            <w:tcW w:type="dxa" w:w="3322"/>
          </w:tcPr>
          <w:p>
            <w:pPr>
              <w:pStyle w:val="null3"/>
            </w:pPr>
            <w:r>
              <w:rPr>
                <w:rFonts w:ascii="仿宋_GB2312" w:hAnsi="仿宋_GB2312" w:cs="仿宋_GB2312" w:eastAsia="仿宋_GB2312"/>
              </w:rPr>
              <w:t>投标（响应）文件上法定代表人或其授权代表人的签字齐全或加盖公章，符合磋商文件要求</w:t>
            </w:r>
          </w:p>
        </w:tc>
        <w:tc>
          <w:tcPr>
            <w:tcW w:type="dxa" w:w="1661"/>
          </w:tcPr>
          <w:p>
            <w:pPr>
              <w:pStyle w:val="null3"/>
            </w:pPr>
            <w:r>
              <w:rPr>
                <w:rFonts w:ascii="仿宋_GB2312" w:hAnsi="仿宋_GB2312" w:cs="仿宋_GB2312" w:eastAsia="仿宋_GB2312"/>
              </w:rPr>
              <w:t>已标价工程量清单 监狱企业的证明文件.docx 中小企业声明函.docx 供应商类似项目业绩一览表.docx 商务条款响应偏离表.docx 项目管理机构.docx 资格证明文件.docx 供应商承诺书.docx 响应文件封面 施工技术方案.docx 残疾人福利性单位声明函 报价函 标的清单 技术、服务条款响应偏离表.docx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供应商名称字章符合性</w:t>
            </w:r>
          </w:p>
        </w:tc>
        <w:tc>
          <w:tcPr>
            <w:tcW w:type="dxa" w:w="3322"/>
          </w:tcPr>
          <w:p>
            <w:pPr>
              <w:pStyle w:val="null3"/>
            </w:pPr>
            <w:r>
              <w:rPr>
                <w:rFonts w:ascii="仿宋_GB2312" w:hAnsi="仿宋_GB2312" w:cs="仿宋_GB2312" w:eastAsia="仿宋_GB2312"/>
              </w:rPr>
              <w:t>供应商名称字章一致</w:t>
            </w:r>
          </w:p>
        </w:tc>
        <w:tc>
          <w:tcPr>
            <w:tcW w:type="dxa" w:w="1661"/>
          </w:tcPr>
          <w:p>
            <w:pPr>
              <w:pStyle w:val="null3"/>
            </w:pPr>
            <w:r>
              <w:rPr>
                <w:rFonts w:ascii="仿宋_GB2312" w:hAnsi="仿宋_GB2312" w:cs="仿宋_GB2312" w:eastAsia="仿宋_GB2312"/>
              </w:rPr>
              <w:t>监狱企业的证明文件.docx 已标价工程量清单 中小企业声明函.docx 供应商类似项目业绩一览表.docx 商务条款响应偏离表.docx 项目管理机构.docx 资格证明文件.docx 供应商承诺书.docx 响应文件封面 施工技术方案.docx 残疾人福利性单位声明函 报价函 标的清单 技术、服务条款响应偏离表.docx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投标（响应）有效期符合性</w:t>
            </w:r>
          </w:p>
        </w:tc>
        <w:tc>
          <w:tcPr>
            <w:tcW w:type="dxa" w:w="3322"/>
          </w:tcPr>
          <w:p>
            <w:pPr>
              <w:pStyle w:val="null3"/>
            </w:pPr>
            <w:r>
              <w:rPr>
                <w:rFonts w:ascii="仿宋_GB2312" w:hAnsi="仿宋_GB2312" w:cs="仿宋_GB2312" w:eastAsia="仿宋_GB2312"/>
              </w:rPr>
              <w:t>投标（响应）有效期满足磋商文件要求</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投标（响应）报价符合性</w:t>
            </w:r>
          </w:p>
        </w:tc>
        <w:tc>
          <w:tcPr>
            <w:tcW w:type="dxa" w:w="3322"/>
          </w:tcPr>
          <w:p>
            <w:pPr>
              <w:pStyle w:val="null3"/>
            </w:pPr>
            <w:r>
              <w:rPr>
                <w:rFonts w:ascii="仿宋_GB2312" w:hAnsi="仿宋_GB2312" w:cs="仿宋_GB2312" w:eastAsia="仿宋_GB2312"/>
              </w:rPr>
              <w:t>投标（响应）报价是唯一有效的、投标（响应 ）报价不得超出最高限价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技术、服务、商务响应满足磋商文件实质性要求</w:t>
            </w:r>
          </w:p>
        </w:tc>
        <w:tc>
          <w:tcPr>
            <w:tcW w:type="dxa" w:w="3322"/>
          </w:tcPr>
          <w:p>
            <w:pPr>
              <w:pStyle w:val="null3"/>
            </w:pPr>
            <w:r>
              <w:rPr>
                <w:rFonts w:ascii="仿宋_GB2312" w:hAnsi="仿宋_GB2312" w:cs="仿宋_GB2312" w:eastAsia="仿宋_GB2312"/>
              </w:rPr>
              <w:t>技术、服务响应满足磋商文件要求；商务响应满足磋商文件要求</w:t>
            </w:r>
          </w:p>
        </w:tc>
        <w:tc>
          <w:tcPr>
            <w:tcW w:type="dxa" w:w="1661"/>
          </w:tcPr>
          <w:p>
            <w:pPr>
              <w:pStyle w:val="null3"/>
            </w:pPr>
            <w:r>
              <w:rPr>
                <w:rFonts w:ascii="仿宋_GB2312" w:hAnsi="仿宋_GB2312" w:cs="仿宋_GB2312" w:eastAsia="仿宋_GB2312"/>
              </w:rPr>
              <w:t>技术、服务条款响应偏离表.docx 商务条款响应偏离表.docx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监狱企业的证明文件.docx 已标价工程量清单 中小企业声明函.docx 供应商类似项目业绩一览表.docx 商务条款响应偏离表.docx 项目管理机构.docx 资格证明文件.docx 供应商承诺书.docx 响应文件封面 施工技术方案.docx 残疾人福利性单位声明函 报价函 标的清单 技术、服务条款响应偏离表.docx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施工方案与技术措施</w:t>
            </w:r>
          </w:p>
        </w:tc>
        <w:tc>
          <w:tcPr>
            <w:tcW w:type="dxa" w:w="2492"/>
          </w:tcPr>
          <w:p>
            <w:pPr>
              <w:pStyle w:val="null3"/>
            </w:pPr>
            <w:r>
              <w:rPr>
                <w:rFonts w:ascii="仿宋_GB2312" w:hAnsi="仿宋_GB2312" w:cs="仿宋_GB2312" w:eastAsia="仿宋_GB2312"/>
              </w:rPr>
              <w:t>施工方案及技术措施专门针对本项目编制，符合项目实际情况及实施要求，内容详尽且涵盖角度全面，合理性和可行性强，能够保障项目顺利实施的，得(7-10]分符合项目实际情况及实施要求，内容较详尽且涵盖角度较全面，有一定的合理性和可行性的，得(4-7]分基本符合项目实际情况及实施要求，但方案涵盖角度不全面且实施有难度的，得[0-4]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施工技术方案.docx</w:t>
            </w:r>
          </w:p>
        </w:tc>
      </w:tr>
      <w:tr>
        <w:tc>
          <w:tcPr>
            <w:tcW w:type="dxa" w:w="831"/>
            <w:vMerge/>
          </w:tcPr>
          <w:p/>
        </w:tc>
        <w:tc>
          <w:tcPr>
            <w:tcW w:type="dxa" w:w="1661"/>
          </w:tcPr>
          <w:p>
            <w:pPr>
              <w:pStyle w:val="null3"/>
            </w:pPr>
            <w:r>
              <w:rPr>
                <w:rFonts w:ascii="仿宋_GB2312" w:hAnsi="仿宋_GB2312" w:cs="仿宋_GB2312" w:eastAsia="仿宋_GB2312"/>
              </w:rPr>
              <w:t>工程质量目标与措施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(6-8]分；符合项目实际情况及实施要求，内容较详尽且涵盖角度基本全面，有一定的合理性和可行性的，得(3-6]分；基本符合项目实际情况及实施要求，但涵盖角度不全面且实施有难度的，得[0-3] 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施工技术方案.docx</w:t>
            </w:r>
          </w:p>
        </w:tc>
      </w:tr>
      <w:tr>
        <w:tc>
          <w:tcPr>
            <w:tcW w:type="dxa" w:w="831"/>
            <w:vMerge/>
          </w:tcPr>
          <w:p/>
        </w:tc>
        <w:tc>
          <w:tcPr>
            <w:tcW w:type="dxa" w:w="1661"/>
          </w:tcPr>
          <w:p>
            <w:pPr>
              <w:pStyle w:val="null3"/>
            </w:pPr>
            <w:r>
              <w:rPr>
                <w:rFonts w:ascii="仿宋_GB2312" w:hAnsi="仿宋_GB2312" w:cs="仿宋_GB2312" w:eastAsia="仿宋_GB2312"/>
              </w:rPr>
              <w:t>项目管理机构组成</w:t>
            </w:r>
          </w:p>
        </w:tc>
        <w:tc>
          <w:tcPr>
            <w:tcW w:type="dxa" w:w="2492"/>
          </w:tcPr>
          <w:p>
            <w:pPr>
              <w:pStyle w:val="null3"/>
            </w:pPr>
            <w:r>
              <w:rPr>
                <w:rFonts w:ascii="仿宋_GB2312" w:hAnsi="仿宋_GB2312" w:cs="仿宋_GB2312" w:eastAsia="仿宋_GB2312"/>
              </w:rPr>
              <w:t>结合本项目实际配备合理的项目管理机构人员组成，人员配置齐全（项目经理、施工技术负责人、安全管理人员(专职安全生产管理人员)、质量管理人员等），各专业配备合理、分工及岗位职责清晰，人员配备齐全、分工明确、科学、合理得 （6-8] 分；人员配备较为齐全、分工较明确得 (3-6] 分；一般得 (0-3] 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项目管理机构.docx</w:t>
            </w:r>
          </w:p>
        </w:tc>
      </w:tr>
      <w:tr>
        <w:tc>
          <w:tcPr>
            <w:tcW w:type="dxa" w:w="831"/>
            <w:vMerge/>
          </w:tcPr>
          <w:p/>
        </w:tc>
        <w:tc>
          <w:tcPr>
            <w:tcW w:type="dxa" w:w="1661"/>
          </w:tcPr>
          <w:p>
            <w:pPr>
              <w:pStyle w:val="null3"/>
            </w:pPr>
            <w:r>
              <w:rPr>
                <w:rFonts w:ascii="仿宋_GB2312" w:hAnsi="仿宋_GB2312" w:cs="仿宋_GB2312" w:eastAsia="仿宋_GB2312"/>
              </w:rPr>
              <w:t>工程进度计划与措施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(4-7]；符合项目实际情况及实施要求，内容较详尽且涵盖角度基本全面，有一定的合理性和可行性的，得 (2-4]；基本符合项目实际情况及实施要求，但涵盖角度不全面且实施有难度的，得[0-2]分。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施工技术方案.docx</w:t>
            </w:r>
          </w:p>
        </w:tc>
      </w:tr>
      <w:tr>
        <w:tc>
          <w:tcPr>
            <w:tcW w:type="dxa" w:w="831"/>
            <w:vMerge/>
          </w:tcPr>
          <w:p/>
        </w:tc>
        <w:tc>
          <w:tcPr>
            <w:tcW w:type="dxa" w:w="1661"/>
          </w:tcPr>
          <w:p>
            <w:pPr>
              <w:pStyle w:val="null3"/>
            </w:pPr>
            <w:r>
              <w:rPr>
                <w:rFonts w:ascii="仿宋_GB2312" w:hAnsi="仿宋_GB2312" w:cs="仿宋_GB2312" w:eastAsia="仿宋_GB2312"/>
              </w:rPr>
              <w:t>安全管理体系与措施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措施内容专门针对本项目编制，符合项目实际情况及实施要求，内容详尽且涵盖角度全面，合理性和可行性强，能够保障项目顺利实施的，得(4-7]分; 符合项目实际情况及实施要求，内容较详尽且涵盖角度基本全面，有一定的合理性和可行性的，得(2-4]分; 基本符合项目实际情况及实施要求，但涵盖角度不全面且实施有难度的，得[0-2]分。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施工技术方案.docx</w:t>
            </w:r>
          </w:p>
        </w:tc>
      </w:tr>
      <w:tr>
        <w:tc>
          <w:tcPr>
            <w:tcW w:type="dxa" w:w="831"/>
            <w:vMerge/>
          </w:tcPr>
          <w:p/>
        </w:tc>
        <w:tc>
          <w:tcPr>
            <w:tcW w:type="dxa" w:w="1661"/>
          </w:tcPr>
          <w:p>
            <w:pPr>
              <w:pStyle w:val="null3"/>
            </w:pPr>
            <w:r>
              <w:rPr>
                <w:rFonts w:ascii="仿宋_GB2312" w:hAnsi="仿宋_GB2312" w:cs="仿宋_GB2312" w:eastAsia="仿宋_GB2312"/>
              </w:rPr>
              <w:t>文明施工体系与措施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措施内容专门针对本项目编制，符合项目实际情况及实施要求，内容详尽且涵盖角度全面，合理性和可行性强，能够保障项目顺利实施的，得(4-6]分; 符合项目实际情况及实施要求，内容较详尽且涵盖角度基本全面，有一定的合理性和可行性的，得(2-4]分; 基本符合项目实际情况及实施要求，但涵盖角度不全面且实施有难度的，得[0-2]分。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施工技术方案.docx</w:t>
            </w:r>
          </w:p>
        </w:tc>
      </w:tr>
      <w:tr>
        <w:tc>
          <w:tcPr>
            <w:tcW w:type="dxa" w:w="831"/>
            <w:vMerge/>
          </w:tcPr>
          <w:p/>
        </w:tc>
        <w:tc>
          <w:tcPr>
            <w:tcW w:type="dxa" w:w="1661"/>
          </w:tcPr>
          <w:p>
            <w:pPr>
              <w:pStyle w:val="null3"/>
            </w:pPr>
            <w:r>
              <w:rPr>
                <w:rFonts w:ascii="仿宋_GB2312" w:hAnsi="仿宋_GB2312" w:cs="仿宋_GB2312" w:eastAsia="仿宋_GB2312"/>
              </w:rPr>
              <w:t>环境保护管理体系与措施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措施内容专门针对本项目编制，符合项目实际情况及实施要求，内容详尽且涵盖角度全面，合理性和可行性强，能够保障项目顺利实施的，得(4-6]分; 基本符合项目实际情况及实施要求，内容较详细，涵盖角度较全面，基本合理可行的，得(2-4]分; 措施内容简单笼统，涵盖角度不全面，实施难度大的，得[0-2]分。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施工技术方案.docx</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投入计划专门针对本项目编制，符合项目实际情况及实施要求，内容详尽且涵盖角度全面，合理性和可行性强，能够保障项目顺利实施的，得(4-6]分; 符合项目实际情况及实施要求，内容较详尽且涵盖角度基本全面，有一定的合理性和可行性的，得(2-4]分; 基本符合项目实际情况及实施要求，但方案涵盖角度不全面且实施有难度的，得[0-2]分。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施工技术方案.docx</w:t>
            </w:r>
          </w:p>
        </w:tc>
      </w:tr>
      <w:tr>
        <w:tc>
          <w:tcPr>
            <w:tcW w:type="dxa" w:w="831"/>
            <w:vMerge/>
          </w:tcPr>
          <w:p/>
        </w:tc>
        <w:tc>
          <w:tcPr>
            <w:tcW w:type="dxa" w:w="1661"/>
          </w:tcPr>
          <w:p>
            <w:pPr>
              <w:pStyle w:val="null3"/>
            </w:pPr>
            <w:r>
              <w:rPr>
                <w:rFonts w:ascii="仿宋_GB2312" w:hAnsi="仿宋_GB2312" w:cs="仿宋_GB2312" w:eastAsia="仿宋_GB2312"/>
              </w:rPr>
              <w:t>施工期间治污减霾措施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措施内容专门针对本项目编制，符合项目实际情况及实施要求，内容详尽且涵盖角度全面，合理性和可行性强，能够保障项目顺利实施的，得(4-6]分; 基本符合项目实际情况及实施要求，内容较详细，涵盖角度较全面，基本合理可行的，得(2-4]分; 措施内容简单笼统，涵盖角度不全面，实施难度大的，得[0-2]分。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提供近三年（2023年1月1日至今）类似项目业绩，每一个类似项目业绩计3分，满分6分。（以施工合同或中标通知书复印件为准，并加盖公章）。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供应商类似项目业绩一览表.docx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磋商报价得分=（磋商基准价/磋商报价）×价格权值（30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详见附件：技术、服务条款响应偏离表.docx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详见附件：施工技术方案.docx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详见附件：中小企业声明函.docx</w:t>
      </w:r>
    </w:p>
    <w:p>
      <w:pPr>
        <w:pStyle w:val="null3"/>
        <w:ind w:firstLine="960"/>
      </w:pPr>
      <w:r>
        <w:rPr>
          <w:rFonts w:ascii="仿宋_GB2312" w:hAnsi="仿宋_GB2312" w:cs="仿宋_GB2312" w:eastAsia="仿宋_GB2312"/>
        </w:rPr>
        <w:t>详见附件：项目管理机构.docx</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详见附件：监狱企业的证明文件.docx</w:t>
      </w:r>
    </w:p>
    <w:p>
      <w:pPr>
        <w:pStyle w:val="null3"/>
        <w:ind w:firstLine="960"/>
      </w:pPr>
      <w:r>
        <w:rPr>
          <w:rFonts w:ascii="仿宋_GB2312" w:hAnsi="仿宋_GB2312" w:cs="仿宋_GB2312" w:eastAsia="仿宋_GB2312"/>
        </w:rPr>
        <w:t>详见附件：已标价工程量清单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