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E1675">
      <w:pPr>
        <w:pStyle w:val="5"/>
        <w:jc w:val="center"/>
        <w:outlineLvl w:val="1"/>
      </w:pPr>
      <w:r>
        <w:rPr>
          <w:rFonts w:ascii="仿宋_GB2312" w:hAnsi="仿宋_GB2312" w:eastAsia="仿宋_GB2312" w:cs="仿宋_GB2312"/>
          <w:b/>
          <w:sz w:val="36"/>
        </w:rPr>
        <w:t>拟签订采购合同文本</w:t>
      </w:r>
    </w:p>
    <w:p w14:paraId="4AD99E5C">
      <w:pPr>
        <w:spacing w:line="360" w:lineRule="auto"/>
        <w:jc w:val="center"/>
        <w:rPr>
          <w:rFonts w:hint="eastAsia" w:ascii="仿宋" w:hAnsi="仿宋" w:eastAsia="仿宋" w:cs="仿宋"/>
          <w:bCs/>
          <w:sz w:val="24"/>
          <w:szCs w:val="24"/>
          <w:highlight w:val="none"/>
        </w:rPr>
      </w:pPr>
      <w:r>
        <w:rPr>
          <w:rFonts w:hint="eastAsia" w:ascii="宋体" w:hAnsi="宋体" w:cs="宋体"/>
          <w:b/>
          <w:bCs/>
          <w:sz w:val="24"/>
          <w:szCs w:val="24"/>
        </w:rPr>
        <w:t>（</w:t>
      </w:r>
      <w:r>
        <w:rPr>
          <w:rFonts w:hint="eastAsia" w:ascii="仿宋_GB2312" w:hAnsi="仿宋_GB2312" w:eastAsia="仿宋_GB2312" w:cs="仿宋_GB2312"/>
          <w:b/>
          <w:kern w:val="0"/>
          <w:sz w:val="32"/>
          <w:szCs w:val="18"/>
          <w:lang w:val="en-US" w:eastAsia="zh-Hans"/>
        </w:rPr>
        <w:t>本合同为样稿，</w:t>
      </w:r>
      <w:r>
        <w:rPr>
          <w:rFonts w:hint="eastAsia" w:ascii="仿宋_GB2312" w:hAnsi="仿宋_GB2312" w:eastAsia="仿宋_GB2312" w:cs="仿宋_GB2312"/>
          <w:b/>
          <w:kern w:val="0"/>
          <w:sz w:val="32"/>
          <w:szCs w:val="18"/>
          <w:lang w:val="en-US" w:eastAsia="zh-CN"/>
        </w:rPr>
        <w:t>具体</w:t>
      </w:r>
      <w:r>
        <w:rPr>
          <w:rFonts w:hint="eastAsia" w:ascii="仿宋_GB2312" w:hAnsi="仿宋_GB2312" w:eastAsia="仿宋_GB2312" w:cs="仿宋_GB2312"/>
          <w:b/>
          <w:kern w:val="0"/>
          <w:sz w:val="32"/>
          <w:szCs w:val="18"/>
          <w:lang w:val="en-US" w:eastAsia="zh-Hans"/>
        </w:rPr>
        <w:t>内容可根据成交供应商响应文件由双方协商后确定）</w:t>
      </w:r>
    </w:p>
    <w:p w14:paraId="6A04FDE4">
      <w:pPr>
        <w:autoSpaceDE w:val="0"/>
        <w:autoSpaceDN w:val="0"/>
        <w:adjustRightInd w:val="0"/>
        <w:snapToGrid w:val="0"/>
        <w:spacing w:line="360" w:lineRule="auto"/>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w:t>
      </w:r>
      <w:r>
        <w:rPr>
          <w:rFonts w:hint="eastAsia" w:ascii="宋体" w:hAnsi="宋体" w:cs="宋体"/>
          <w:b/>
          <w:bCs/>
          <w:sz w:val="32"/>
          <w:szCs w:val="32"/>
          <w:highlight w:val="none"/>
          <w:u w:val="single"/>
          <w:lang w:val="en-US" w:eastAsia="zh-CN"/>
        </w:rPr>
        <w:t xml:space="preserve">                   </w:t>
      </w:r>
    </w:p>
    <w:p w14:paraId="58C81904">
      <w:pPr>
        <w:autoSpaceDE w:val="0"/>
        <w:autoSpaceDN w:val="0"/>
        <w:adjustRightInd w:val="0"/>
        <w:snapToGrid w:val="0"/>
        <w:spacing w:line="360" w:lineRule="auto"/>
        <w:rPr>
          <w:rFonts w:ascii="仿宋" w:hAnsi="仿宋" w:eastAsia="仿宋" w:cs="仿宋"/>
          <w:bCs/>
          <w:sz w:val="28"/>
          <w:szCs w:val="28"/>
          <w:highlight w:val="none"/>
          <w:u w:val="single"/>
        </w:rPr>
      </w:pPr>
      <w:r>
        <w:rPr>
          <w:rFonts w:hint="eastAsia" w:ascii="仿宋" w:hAnsi="仿宋" w:eastAsia="仿宋" w:cs="仿宋"/>
          <w:bCs/>
          <w:sz w:val="28"/>
          <w:szCs w:val="28"/>
          <w:highlight w:val="none"/>
        </w:rPr>
        <w:t>乙方：</w:t>
      </w:r>
      <w:r>
        <w:rPr>
          <w:rFonts w:hint="eastAsia" w:ascii="宋体" w:hAnsi="宋体" w:cs="宋体"/>
          <w:b/>
          <w:bCs/>
          <w:sz w:val="32"/>
          <w:szCs w:val="32"/>
          <w:highlight w:val="none"/>
          <w:u w:val="single"/>
          <w:lang w:val="en-US" w:eastAsia="zh-CN"/>
        </w:rPr>
        <w:t xml:space="preserve">                   </w:t>
      </w:r>
    </w:p>
    <w:p w14:paraId="7D7B6BF6">
      <w:pPr>
        <w:autoSpaceDE w:val="0"/>
        <w:autoSpaceDN w:val="0"/>
        <w:adjustRightInd w:val="0"/>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为了明确甲方与乙方</w:t>
      </w:r>
      <w:r>
        <w:rPr>
          <w:rFonts w:hint="eastAsia" w:ascii="仿宋" w:hAnsi="仿宋" w:eastAsia="仿宋" w:cs="仿宋"/>
          <w:bCs/>
          <w:sz w:val="28"/>
          <w:szCs w:val="28"/>
          <w:highlight w:val="none"/>
          <w:lang w:val="en-US" w:eastAsia="zh-CN"/>
        </w:rPr>
        <w:t>直饮机</w:t>
      </w:r>
      <w:r>
        <w:rPr>
          <w:rFonts w:hint="eastAsia" w:ascii="仿宋" w:hAnsi="仿宋" w:eastAsia="仿宋" w:cs="仿宋"/>
          <w:bCs/>
          <w:sz w:val="28"/>
          <w:szCs w:val="28"/>
          <w:highlight w:val="none"/>
        </w:rPr>
        <w:t>提供及维护事宜的权利义务，根据《</w:t>
      </w:r>
      <w:r>
        <w:rPr>
          <w:rFonts w:hint="eastAsia" w:ascii="仿宋" w:hAnsi="仿宋" w:eastAsia="仿宋" w:cs="仿宋"/>
          <w:bCs/>
          <w:color w:val="auto"/>
          <w:sz w:val="28"/>
          <w:szCs w:val="28"/>
          <w:highlight w:val="none"/>
        </w:rPr>
        <w:t>中华人民共和国民法典</w:t>
      </w:r>
      <w:r>
        <w:rPr>
          <w:rFonts w:hint="eastAsia" w:ascii="仿宋" w:hAnsi="仿宋" w:eastAsia="仿宋" w:cs="仿宋"/>
          <w:bCs/>
          <w:sz w:val="28"/>
          <w:szCs w:val="28"/>
          <w:highlight w:val="none"/>
        </w:rPr>
        <w:t>》的有关规定，经双方协商一致，特定本协议，以便共同遵守。</w:t>
      </w:r>
    </w:p>
    <w:p w14:paraId="293BA42D">
      <w:pPr>
        <w:numPr>
          <w:ilvl w:val="0"/>
          <w:numId w:val="1"/>
        </w:numPr>
        <w:snapToGrid w:val="0"/>
        <w:spacing w:line="360" w:lineRule="auto"/>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 xml:space="preserve"> 联系方式</w:t>
      </w:r>
    </w:p>
    <w:tbl>
      <w:tblPr>
        <w:tblStyle w:val="3"/>
        <w:tblpPr w:leftFromText="180" w:rightFromText="180" w:vertAnchor="text" w:horzAnchor="page" w:tblpXSpec="center" w:tblpY="203"/>
        <w:tblOverlap w:val="never"/>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2790"/>
        <w:gridCol w:w="1110"/>
        <w:gridCol w:w="3306"/>
      </w:tblGrid>
      <w:tr w14:paraId="0158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jc w:val="center"/>
        </w:trPr>
        <w:tc>
          <w:tcPr>
            <w:tcW w:w="954" w:type="dxa"/>
            <w:vAlign w:val="center"/>
          </w:tcPr>
          <w:p w14:paraId="2C9CEA05">
            <w:pPr>
              <w:snapToGrid w:val="0"/>
              <w:spacing w:line="360" w:lineRule="auto"/>
              <w:jc w:val="center"/>
              <w:rPr>
                <w:rFonts w:ascii="仿宋" w:hAnsi="仿宋" w:eastAsia="仿宋" w:cs="仿宋"/>
                <w:bCs/>
                <w:sz w:val="24"/>
                <w:szCs w:val="24"/>
                <w:highlight w:val="none"/>
              </w:rPr>
            </w:pPr>
            <w:r>
              <w:rPr>
                <w:rFonts w:hint="eastAsia" w:ascii="仿宋" w:hAnsi="仿宋" w:eastAsia="仿宋" w:cs="仿宋"/>
                <w:bCs/>
                <w:sz w:val="24"/>
                <w:szCs w:val="24"/>
                <w:highlight w:val="none"/>
              </w:rPr>
              <w:t>甲  方</w:t>
            </w:r>
          </w:p>
        </w:tc>
        <w:tc>
          <w:tcPr>
            <w:tcW w:w="2790" w:type="dxa"/>
            <w:vAlign w:val="center"/>
          </w:tcPr>
          <w:p w14:paraId="357370C7">
            <w:pPr>
              <w:snapToGrid w:val="0"/>
              <w:spacing w:line="360" w:lineRule="auto"/>
              <w:rPr>
                <w:rFonts w:ascii="仿宋" w:hAnsi="仿宋" w:eastAsia="仿宋" w:cs="仿宋"/>
                <w:bCs/>
                <w:sz w:val="24"/>
                <w:szCs w:val="24"/>
                <w:highlight w:val="none"/>
              </w:rPr>
            </w:pPr>
          </w:p>
        </w:tc>
        <w:tc>
          <w:tcPr>
            <w:tcW w:w="1110" w:type="dxa"/>
            <w:vAlign w:val="center"/>
          </w:tcPr>
          <w:p w14:paraId="6B3AB592">
            <w:pPr>
              <w:snapToGrid w:val="0"/>
              <w:spacing w:line="360" w:lineRule="auto"/>
              <w:jc w:val="center"/>
              <w:rPr>
                <w:rFonts w:ascii="仿宋" w:hAnsi="仿宋" w:eastAsia="仿宋" w:cs="仿宋"/>
                <w:bCs/>
                <w:sz w:val="24"/>
                <w:szCs w:val="24"/>
                <w:highlight w:val="none"/>
              </w:rPr>
            </w:pPr>
            <w:r>
              <w:rPr>
                <w:rFonts w:hint="eastAsia" w:ascii="仿宋" w:hAnsi="仿宋" w:eastAsia="仿宋" w:cs="仿宋"/>
                <w:bCs/>
                <w:sz w:val="24"/>
                <w:szCs w:val="24"/>
                <w:highlight w:val="none"/>
              </w:rPr>
              <w:t>乙  方</w:t>
            </w:r>
          </w:p>
        </w:tc>
        <w:tc>
          <w:tcPr>
            <w:tcW w:w="3306" w:type="dxa"/>
            <w:vAlign w:val="center"/>
          </w:tcPr>
          <w:p w14:paraId="275361A9">
            <w:pPr>
              <w:snapToGrid w:val="0"/>
              <w:spacing w:line="360" w:lineRule="auto"/>
              <w:rPr>
                <w:rFonts w:ascii="仿宋" w:hAnsi="仿宋" w:eastAsia="仿宋" w:cs="仿宋"/>
                <w:sz w:val="24"/>
                <w:szCs w:val="24"/>
                <w:highlight w:val="none"/>
              </w:rPr>
            </w:pPr>
          </w:p>
        </w:tc>
      </w:tr>
      <w:tr w14:paraId="42B5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954" w:type="dxa"/>
            <w:vAlign w:val="center"/>
          </w:tcPr>
          <w:p w14:paraId="44E2432C">
            <w:pPr>
              <w:snapToGrid w:val="0"/>
              <w:spacing w:line="360" w:lineRule="auto"/>
              <w:jc w:val="center"/>
              <w:rPr>
                <w:rFonts w:ascii="仿宋" w:hAnsi="仿宋" w:eastAsia="仿宋" w:cs="仿宋"/>
                <w:bCs/>
                <w:sz w:val="24"/>
                <w:szCs w:val="24"/>
                <w:highlight w:val="none"/>
              </w:rPr>
            </w:pPr>
            <w:r>
              <w:rPr>
                <w:rFonts w:hint="eastAsia" w:ascii="仿宋" w:hAnsi="仿宋" w:eastAsia="仿宋" w:cs="仿宋"/>
                <w:bCs/>
                <w:sz w:val="24"/>
                <w:szCs w:val="24"/>
                <w:highlight w:val="none"/>
              </w:rPr>
              <w:t>联系人</w:t>
            </w:r>
          </w:p>
        </w:tc>
        <w:tc>
          <w:tcPr>
            <w:tcW w:w="2790" w:type="dxa"/>
            <w:vAlign w:val="center"/>
          </w:tcPr>
          <w:p w14:paraId="4865132E">
            <w:pPr>
              <w:snapToGrid w:val="0"/>
              <w:spacing w:line="360" w:lineRule="auto"/>
              <w:rPr>
                <w:rFonts w:hint="default" w:ascii="仿宋" w:hAnsi="仿宋" w:eastAsia="仿宋" w:cs="仿宋"/>
                <w:bCs/>
                <w:sz w:val="24"/>
                <w:szCs w:val="24"/>
                <w:highlight w:val="none"/>
                <w:lang w:val="en-US" w:eastAsia="zh-CN"/>
              </w:rPr>
            </w:pPr>
          </w:p>
        </w:tc>
        <w:tc>
          <w:tcPr>
            <w:tcW w:w="1110" w:type="dxa"/>
            <w:vAlign w:val="center"/>
          </w:tcPr>
          <w:p w14:paraId="00D105DD">
            <w:pPr>
              <w:snapToGrid w:val="0"/>
              <w:spacing w:line="360" w:lineRule="auto"/>
              <w:jc w:val="center"/>
              <w:rPr>
                <w:rFonts w:ascii="仿宋" w:hAnsi="仿宋" w:eastAsia="仿宋" w:cs="仿宋"/>
                <w:bCs/>
                <w:sz w:val="24"/>
                <w:szCs w:val="24"/>
                <w:highlight w:val="none"/>
              </w:rPr>
            </w:pPr>
            <w:r>
              <w:rPr>
                <w:rFonts w:hint="eastAsia" w:ascii="仿宋" w:hAnsi="仿宋" w:eastAsia="仿宋" w:cs="仿宋"/>
                <w:bCs/>
                <w:sz w:val="24"/>
                <w:szCs w:val="24"/>
                <w:highlight w:val="none"/>
              </w:rPr>
              <w:t>联系人</w:t>
            </w:r>
          </w:p>
        </w:tc>
        <w:tc>
          <w:tcPr>
            <w:tcW w:w="3306" w:type="dxa"/>
            <w:vAlign w:val="center"/>
          </w:tcPr>
          <w:p w14:paraId="4A72107D">
            <w:pPr>
              <w:snapToGrid w:val="0"/>
              <w:spacing w:line="360" w:lineRule="auto"/>
              <w:rPr>
                <w:rFonts w:ascii="仿宋" w:hAnsi="仿宋" w:eastAsia="仿宋" w:cs="仿宋"/>
                <w:b/>
                <w:bCs/>
                <w:sz w:val="24"/>
                <w:szCs w:val="24"/>
                <w:highlight w:val="none"/>
              </w:rPr>
            </w:pPr>
          </w:p>
        </w:tc>
      </w:tr>
      <w:tr w14:paraId="4CDC3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jc w:val="center"/>
        </w:trPr>
        <w:tc>
          <w:tcPr>
            <w:tcW w:w="954" w:type="dxa"/>
            <w:vAlign w:val="center"/>
          </w:tcPr>
          <w:p w14:paraId="761B4EF4">
            <w:pPr>
              <w:snapToGrid w:val="0"/>
              <w:spacing w:line="360" w:lineRule="auto"/>
              <w:jc w:val="center"/>
              <w:rPr>
                <w:rFonts w:ascii="仿宋" w:hAnsi="仿宋" w:eastAsia="仿宋" w:cs="仿宋"/>
                <w:bCs/>
                <w:sz w:val="24"/>
                <w:szCs w:val="24"/>
                <w:highlight w:val="none"/>
              </w:rPr>
            </w:pPr>
            <w:r>
              <w:rPr>
                <w:rFonts w:hint="eastAsia" w:ascii="仿宋" w:hAnsi="仿宋" w:eastAsia="仿宋" w:cs="仿宋"/>
                <w:bCs/>
                <w:sz w:val="24"/>
                <w:szCs w:val="24"/>
                <w:highlight w:val="none"/>
              </w:rPr>
              <w:t>电  话</w:t>
            </w:r>
          </w:p>
        </w:tc>
        <w:tc>
          <w:tcPr>
            <w:tcW w:w="2790" w:type="dxa"/>
            <w:vAlign w:val="center"/>
          </w:tcPr>
          <w:p w14:paraId="41CB89ED">
            <w:pPr>
              <w:snapToGrid w:val="0"/>
              <w:spacing w:line="360" w:lineRule="auto"/>
              <w:rPr>
                <w:rFonts w:hint="default" w:ascii="仿宋" w:hAnsi="仿宋" w:eastAsia="仿宋" w:cs="仿宋"/>
                <w:bCs/>
                <w:sz w:val="24"/>
                <w:szCs w:val="24"/>
                <w:highlight w:val="none"/>
                <w:lang w:val="en-US" w:eastAsia="zh-CN"/>
              </w:rPr>
            </w:pPr>
          </w:p>
        </w:tc>
        <w:tc>
          <w:tcPr>
            <w:tcW w:w="1110" w:type="dxa"/>
            <w:vAlign w:val="center"/>
          </w:tcPr>
          <w:p w14:paraId="2AE1B3DF">
            <w:pPr>
              <w:snapToGrid w:val="0"/>
              <w:spacing w:line="360" w:lineRule="auto"/>
              <w:jc w:val="center"/>
              <w:rPr>
                <w:rFonts w:ascii="仿宋" w:hAnsi="仿宋" w:eastAsia="仿宋" w:cs="仿宋"/>
                <w:bCs/>
                <w:sz w:val="24"/>
                <w:szCs w:val="24"/>
                <w:highlight w:val="none"/>
              </w:rPr>
            </w:pPr>
            <w:r>
              <w:rPr>
                <w:rFonts w:hint="eastAsia" w:ascii="仿宋" w:hAnsi="仿宋" w:eastAsia="仿宋" w:cs="仿宋"/>
                <w:bCs/>
                <w:sz w:val="24"/>
                <w:szCs w:val="24"/>
                <w:highlight w:val="none"/>
              </w:rPr>
              <w:t>电  话</w:t>
            </w:r>
          </w:p>
        </w:tc>
        <w:tc>
          <w:tcPr>
            <w:tcW w:w="3306" w:type="dxa"/>
            <w:vAlign w:val="center"/>
          </w:tcPr>
          <w:p w14:paraId="2D052FEE">
            <w:pPr>
              <w:snapToGrid w:val="0"/>
              <w:spacing w:line="360" w:lineRule="auto"/>
              <w:rPr>
                <w:rFonts w:ascii="仿宋" w:hAnsi="仿宋" w:eastAsia="仿宋" w:cs="仿宋"/>
                <w:b/>
                <w:bCs/>
                <w:sz w:val="24"/>
                <w:szCs w:val="24"/>
                <w:highlight w:val="none"/>
              </w:rPr>
            </w:pPr>
          </w:p>
        </w:tc>
      </w:tr>
    </w:tbl>
    <w:p w14:paraId="0C7D60A2">
      <w:pPr>
        <w:snapToGrid w:val="0"/>
        <w:spacing w:line="360" w:lineRule="auto"/>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第二条  乙方提供设备及范围</w:t>
      </w:r>
    </w:p>
    <w:p w14:paraId="4EBFDB06">
      <w:pPr>
        <w:snapToGrid w:val="0"/>
        <w:spacing w:line="360" w:lineRule="auto"/>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乙方为甲方提供</w:t>
      </w:r>
      <w:r>
        <w:rPr>
          <w:rFonts w:hint="eastAsia" w:ascii="仿宋" w:hAnsi="仿宋" w:eastAsia="仿宋" w:cs="仿宋"/>
          <w:bCs/>
          <w:sz w:val="28"/>
          <w:szCs w:val="28"/>
          <w:highlight w:val="none"/>
          <w:lang w:val="en-US" w:eastAsia="zh-CN"/>
        </w:rPr>
        <w:t>直饮机</w:t>
      </w:r>
      <w:r>
        <w:rPr>
          <w:rFonts w:hint="eastAsia" w:ascii="仿宋" w:hAnsi="仿宋" w:eastAsia="仿宋" w:cs="仿宋"/>
          <w:bCs/>
          <w:sz w:val="28"/>
          <w:szCs w:val="28"/>
          <w:highlight w:val="none"/>
        </w:rPr>
        <w:t>并投放在甲方指定</w:t>
      </w:r>
      <w:r>
        <w:rPr>
          <w:rFonts w:hint="eastAsia" w:ascii="仿宋" w:hAnsi="仿宋" w:eastAsia="仿宋" w:cs="仿宋"/>
          <w:bCs/>
          <w:sz w:val="28"/>
          <w:szCs w:val="28"/>
          <w:highlight w:val="none"/>
          <w:lang w:val="en-US" w:eastAsia="zh-CN"/>
        </w:rPr>
        <w:t>区域</w:t>
      </w:r>
      <w:r>
        <w:rPr>
          <w:rFonts w:hint="eastAsia" w:ascii="仿宋" w:hAnsi="仿宋" w:eastAsia="仿宋" w:cs="仿宋"/>
          <w:bCs/>
          <w:sz w:val="28"/>
          <w:szCs w:val="28"/>
          <w:highlight w:val="none"/>
        </w:rPr>
        <w:t>内，</w:t>
      </w:r>
      <w:r>
        <w:rPr>
          <w:rFonts w:hint="eastAsia" w:ascii="仿宋" w:hAnsi="仿宋" w:eastAsia="仿宋" w:cs="仿宋"/>
          <w:bCs/>
          <w:sz w:val="28"/>
          <w:szCs w:val="28"/>
          <w:highlight w:val="none"/>
          <w:lang w:val="en-US" w:eastAsia="zh-CN"/>
        </w:rPr>
        <w:t>并负责设备安装调试以及后期维护。</w:t>
      </w:r>
    </w:p>
    <w:p w14:paraId="0F006802">
      <w:pPr>
        <w:numPr>
          <w:ilvl w:val="0"/>
          <w:numId w:val="2"/>
        </w:numPr>
        <w:snapToGrid w:val="0"/>
        <w:spacing w:line="360" w:lineRule="auto"/>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 xml:space="preserve"> 双方权利义务</w:t>
      </w:r>
    </w:p>
    <w:p w14:paraId="02CEB426">
      <w:pPr>
        <w:numPr>
          <w:ilvl w:val="0"/>
          <w:numId w:val="3"/>
        </w:numPr>
        <w:snapToGrid w:val="0"/>
        <w:spacing w:line="360" w:lineRule="auto"/>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甲方:</w:t>
      </w:r>
    </w:p>
    <w:p w14:paraId="628DFF27">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甲方提供电源、水源。 </w:t>
      </w:r>
    </w:p>
    <w:p w14:paraId="33308425">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甲方按照合同约定向乙方支付净水服务费用（费用详见第四条）。</w:t>
      </w:r>
    </w:p>
    <w:p w14:paraId="7B3AC0FC">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使用过程中设备出现问题，甲方随时有权要求乙方对相关设备线路与出水情况进行检测并进行维修改进。</w:t>
      </w:r>
    </w:p>
    <w:p w14:paraId="15A69699">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甲方出现</w:t>
      </w:r>
      <w:r>
        <w:rPr>
          <w:rFonts w:hint="eastAsia" w:ascii="仿宋" w:hAnsi="仿宋" w:eastAsia="仿宋" w:cs="仿宋"/>
          <w:bCs/>
          <w:sz w:val="28"/>
          <w:szCs w:val="28"/>
          <w:highlight w:val="none"/>
          <w:lang w:val="en-US" w:eastAsia="zh-CN"/>
        </w:rPr>
        <w:t>饮水</w:t>
      </w:r>
      <w:r>
        <w:rPr>
          <w:rFonts w:hint="eastAsia" w:ascii="仿宋" w:hAnsi="仿宋" w:eastAsia="仿宋" w:cs="仿宋"/>
          <w:bCs/>
          <w:sz w:val="28"/>
          <w:szCs w:val="28"/>
          <w:highlight w:val="none"/>
        </w:rPr>
        <w:t>区域调整时，有权要求乙方对相关设备进行免费调整移机。</w:t>
      </w:r>
    </w:p>
    <w:p w14:paraId="2DDA4F3A">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若</w:t>
      </w:r>
      <w:r>
        <w:rPr>
          <w:rFonts w:hint="eastAsia" w:ascii="仿宋" w:hAnsi="仿宋" w:eastAsia="仿宋" w:cs="仿宋"/>
          <w:bCs/>
          <w:sz w:val="28"/>
          <w:szCs w:val="28"/>
          <w:highlight w:val="none"/>
          <w:lang w:val="en-US" w:eastAsia="zh-CN"/>
        </w:rPr>
        <w:t>直饮机</w:t>
      </w:r>
      <w:r>
        <w:rPr>
          <w:rFonts w:hint="eastAsia" w:ascii="仿宋" w:hAnsi="仿宋" w:eastAsia="仿宋" w:cs="仿宋"/>
          <w:bCs/>
          <w:sz w:val="28"/>
          <w:szCs w:val="28"/>
          <w:highlight w:val="none"/>
        </w:rPr>
        <w:t>发生故障，甲方可拨打：</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w:t>
      </w:r>
    </w:p>
    <w:p w14:paraId="1AF0E611">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要求乙方进行维修。</w:t>
      </w:r>
    </w:p>
    <w:p w14:paraId="4E0140F8">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若甲方因使用人员数量变化需要换机，必须等到整年机器使用时间完成后，方可调换。</w:t>
      </w:r>
    </w:p>
    <w:p w14:paraId="0B4F2EC8">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甲方不得擅自转让所使用设备。</w:t>
      </w:r>
    </w:p>
    <w:p w14:paraId="2E07683C">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甲方对乙方安装在学校内的直饮水系统设备及其相关配套设施，有责任给予适当的管理和防护。</w:t>
      </w:r>
    </w:p>
    <w:p w14:paraId="1DAE2C98">
      <w:pPr>
        <w:numPr>
          <w:ilvl w:val="0"/>
          <w:numId w:val="4"/>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甲方可要求乙方提供国家权威部门水质安全检测报告，如未达到国家饮用水安全标准，甲方可要求乙方做出整改。</w:t>
      </w:r>
    </w:p>
    <w:p w14:paraId="18D0B209">
      <w:pPr>
        <w:numPr>
          <w:ilvl w:val="0"/>
          <w:numId w:val="5"/>
        </w:numPr>
        <w:snapToGrid w:val="0"/>
        <w:spacing w:line="360" w:lineRule="auto"/>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乙方：</w:t>
      </w:r>
    </w:p>
    <w:p w14:paraId="6DCFC234">
      <w:pPr>
        <w:numPr>
          <w:ilvl w:val="0"/>
          <w:numId w:val="6"/>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乙方为甲方提供净水系统全套设备、耗材、部件及管线，并负责安装、移机、调试、保养、检测、维修、更换等各项服务。若净水终端系统发生故障，维修工作时间不大于24小时，更换工作时间不大于72小时。</w:t>
      </w:r>
    </w:p>
    <w:p w14:paraId="723CE176">
      <w:pPr>
        <w:numPr>
          <w:ilvl w:val="0"/>
          <w:numId w:val="6"/>
        </w:numPr>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乙方在提供净水服务期间，提供的直饮水设备负责备品配件的供应,长期提供维修服务，并提供技术咨询等服务。质保期内无偿负责的维修和替换等工作。超出质保期只收取维修所需原设备、材料成本费用。</w:t>
      </w:r>
    </w:p>
    <w:p w14:paraId="508F84A1">
      <w:pPr>
        <w:numPr>
          <w:ilvl w:val="0"/>
          <w:numId w:val="6"/>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标配及加装分机和管线的安装、调试、保养、维修等服务由乙方免费提供。</w:t>
      </w:r>
    </w:p>
    <w:p w14:paraId="7A3729E1">
      <w:pPr>
        <w:numPr>
          <w:ilvl w:val="0"/>
          <w:numId w:val="6"/>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乙方为甲方免费进行设备检测和水质检测，以保证水质达到相应的卫生标准。</w:t>
      </w:r>
    </w:p>
    <w:p w14:paraId="06867F0B">
      <w:pPr>
        <w:numPr>
          <w:ilvl w:val="0"/>
          <w:numId w:val="6"/>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乙方根据直饮水设备自检滤芯提示免费进行滤芯更换，保证水质质量。除此之外，每年最少免费更换学校全部主机滤芯一次。（饮水质量不达标要立刻更换滤芯等相关部件或整机）</w:t>
      </w:r>
    </w:p>
    <w:p w14:paraId="7746745E">
      <w:pPr>
        <w:numPr>
          <w:ilvl w:val="0"/>
          <w:numId w:val="6"/>
        </w:numPr>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派专人对学校提供售后服务，并定期对所提供的饮水设施使用情况等进行回访。</w:t>
      </w:r>
    </w:p>
    <w:p w14:paraId="559C117E">
      <w:pPr>
        <w:numPr>
          <w:ilvl w:val="0"/>
          <w:numId w:val="6"/>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乙方保证</w:t>
      </w:r>
      <w:r>
        <w:rPr>
          <w:rFonts w:hint="eastAsia" w:ascii="仿宋" w:hAnsi="仿宋" w:eastAsia="仿宋" w:cs="仿宋"/>
          <w:bCs/>
          <w:sz w:val="28"/>
          <w:szCs w:val="28"/>
          <w:highlight w:val="none"/>
          <w:lang w:val="en-US" w:eastAsia="zh-CN"/>
        </w:rPr>
        <w:t>直饮机</w:t>
      </w:r>
      <w:r>
        <w:rPr>
          <w:rFonts w:hint="eastAsia" w:ascii="仿宋" w:hAnsi="仿宋" w:eastAsia="仿宋" w:cs="仿宋"/>
          <w:bCs/>
          <w:sz w:val="28"/>
          <w:szCs w:val="28"/>
          <w:highlight w:val="none"/>
        </w:rPr>
        <w:t>出水的水质达到国家饮用水安全标准，若水质未达标，乙方应无条件为甲方更换滤芯及相关零部件。</w:t>
      </w:r>
    </w:p>
    <w:p w14:paraId="7ABA9866">
      <w:pPr>
        <w:numPr>
          <w:ilvl w:val="0"/>
          <w:numId w:val="6"/>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直饮机</w:t>
      </w:r>
      <w:r>
        <w:rPr>
          <w:rFonts w:hint="eastAsia" w:ascii="仿宋" w:hAnsi="仿宋" w:eastAsia="仿宋" w:cs="仿宋"/>
          <w:bCs/>
          <w:sz w:val="28"/>
          <w:szCs w:val="28"/>
          <w:highlight w:val="none"/>
        </w:rPr>
        <w:t>全套设备所有权归属乙方。</w:t>
      </w:r>
    </w:p>
    <w:p w14:paraId="7C4C9296">
      <w:pPr>
        <w:numPr>
          <w:ilvl w:val="0"/>
          <w:numId w:val="6"/>
        </w:numPr>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若</w:t>
      </w:r>
      <w:r>
        <w:rPr>
          <w:rFonts w:hint="eastAsia" w:ascii="仿宋" w:hAnsi="仿宋" w:eastAsia="仿宋" w:cs="仿宋"/>
          <w:bCs/>
          <w:sz w:val="28"/>
          <w:szCs w:val="28"/>
          <w:highlight w:val="none"/>
          <w:lang w:val="en-US" w:eastAsia="zh-CN"/>
        </w:rPr>
        <w:t>乙方</w:t>
      </w:r>
      <w:r>
        <w:rPr>
          <w:rFonts w:hint="eastAsia" w:ascii="仿宋" w:hAnsi="仿宋" w:eastAsia="仿宋" w:cs="仿宋"/>
          <w:bCs/>
          <w:sz w:val="28"/>
          <w:szCs w:val="28"/>
          <w:highlight w:val="none"/>
        </w:rPr>
        <w:t>未按照合同规定的售后服务要求执行，使用单位有权自行选择第三方进行维护和修理，所产生的费用由乙方支付</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合同期内在正常使用的情况下，甲方不得无故提前终止合同。</w:t>
      </w:r>
    </w:p>
    <w:p w14:paraId="7C054974">
      <w:pPr>
        <w:numPr>
          <w:ilvl w:val="0"/>
          <w:numId w:val="7"/>
        </w:numPr>
        <w:snapToGrid w:val="0"/>
        <w:spacing w:line="360" w:lineRule="auto"/>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 xml:space="preserve"> 合同价款及支付方式</w:t>
      </w:r>
    </w:p>
    <w:p w14:paraId="45F0CB8A">
      <w:pPr>
        <w:numPr>
          <w:ilvl w:val="0"/>
          <w:numId w:val="0"/>
        </w:numPr>
        <w:snapToGrid w:val="0"/>
        <w:spacing w:line="360" w:lineRule="auto"/>
        <w:ind w:firstLine="560" w:firstLineChars="200"/>
        <w:rPr>
          <w:rFonts w:ascii="仿宋" w:hAnsi="仿宋" w:eastAsia="仿宋" w:cs="仿宋"/>
          <w:bCs/>
          <w:sz w:val="28"/>
          <w:szCs w:val="28"/>
          <w:highlight w:val="none"/>
        </w:rPr>
      </w:pPr>
      <w:r>
        <w:rPr>
          <w:rFonts w:ascii="仿宋" w:hAnsi="仿宋" w:eastAsia="仿宋" w:cs="仿宋"/>
          <w:bCs/>
          <w:kern w:val="2"/>
          <w:sz w:val="28"/>
          <w:szCs w:val="28"/>
          <w:lang w:val="en-US" w:eastAsia="zh-CN" w:bidi="ar-SA"/>
        </w:rPr>
        <w:t>1.</w:t>
      </w:r>
      <w:r>
        <w:rPr>
          <w:rFonts w:hint="eastAsia" w:ascii="仿宋" w:hAnsi="仿宋" w:eastAsia="仿宋" w:cs="仿宋"/>
          <w:bCs/>
          <w:sz w:val="28"/>
          <w:szCs w:val="28"/>
          <w:highlight w:val="none"/>
          <w:lang w:val="en-US" w:eastAsia="zh-CN"/>
        </w:rPr>
        <w:t>合同金额：</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，报价包含</w:t>
      </w:r>
      <w:r>
        <w:rPr>
          <w:rFonts w:hint="eastAsia" w:ascii="仿宋" w:hAnsi="仿宋" w:eastAsia="仿宋" w:cs="仿宋"/>
          <w:bCs/>
          <w:sz w:val="28"/>
          <w:szCs w:val="28"/>
          <w:highlight w:val="none"/>
          <w:lang w:val="en-US" w:eastAsia="zh-CN"/>
        </w:rPr>
        <w:t>直饮机</w:t>
      </w:r>
      <w:r>
        <w:rPr>
          <w:rFonts w:hint="eastAsia" w:ascii="仿宋" w:hAnsi="仿宋" w:eastAsia="仿宋" w:cs="仿宋"/>
          <w:bCs/>
          <w:sz w:val="28"/>
          <w:szCs w:val="28"/>
          <w:highlight w:val="none"/>
        </w:rPr>
        <w:t>全套设备、耗材、部件及管线，乙方负责安装、移机、调试、保养、检测、维修、更换等费用。</w:t>
      </w:r>
    </w:p>
    <w:p w14:paraId="6B8F5998">
      <w:pPr>
        <w:numPr>
          <w:ilvl w:val="0"/>
          <w:numId w:val="0"/>
        </w:numPr>
        <w:snapToGrid w:val="0"/>
        <w:spacing w:line="360" w:lineRule="auto"/>
        <w:ind w:left="0" w:leftChars="0" w:firstLine="560" w:firstLineChars="200"/>
        <w:rPr>
          <w:rFonts w:hint="eastAsia" w:eastAsia="仿宋"/>
          <w:highlight w:val="none"/>
          <w:lang w:eastAsia="zh-CN"/>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费用支付方式：</w:t>
      </w:r>
      <w:r>
        <w:rPr>
          <w:rFonts w:hint="eastAsia" w:ascii="仿宋" w:hAnsi="仿宋" w:eastAsia="仿宋" w:cs="仿宋"/>
          <w:sz w:val="28"/>
          <w:szCs w:val="28"/>
          <w:highlight w:val="none"/>
        </w:rPr>
        <w:t>合同签订</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eastAsia="zh-CN"/>
        </w:rPr>
        <w:t>。</w:t>
      </w:r>
    </w:p>
    <w:p w14:paraId="4A8C53D2">
      <w:pPr>
        <w:numPr>
          <w:ilvl w:val="0"/>
          <w:numId w:val="0"/>
        </w:numPr>
        <w:snapToGrid w:val="0"/>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1</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供货、安装、调试、验收周期（工期）：自合同签订生效之日起</w:t>
      </w:r>
      <w:r>
        <w:rPr>
          <w:rFonts w:hint="eastAsia" w:ascii="仿宋" w:hAnsi="仿宋" w:eastAsia="仿宋" w:cs="仿宋"/>
          <w:bCs/>
          <w:sz w:val="28"/>
          <w:szCs w:val="28"/>
          <w:highlight w:val="none"/>
          <w:lang w:val="en-US" w:eastAsia="zh-CN"/>
        </w:rPr>
        <w:t>15</w:t>
      </w:r>
      <w:r>
        <w:rPr>
          <w:rFonts w:hint="eastAsia" w:ascii="仿宋" w:hAnsi="仿宋" w:eastAsia="仿宋" w:cs="仿宋"/>
          <w:bCs/>
          <w:sz w:val="28"/>
          <w:szCs w:val="28"/>
          <w:highlight w:val="none"/>
        </w:rPr>
        <w:t>日历日。</w:t>
      </w:r>
    </w:p>
    <w:p w14:paraId="6291B280">
      <w:pPr>
        <w:numPr>
          <w:ilvl w:val="0"/>
          <w:numId w:val="0"/>
        </w:numPr>
        <w:snapToGrid w:val="0"/>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合同租赁期满后一次性付款100%。</w:t>
      </w:r>
    </w:p>
    <w:p w14:paraId="74A4EA5A">
      <w:pPr>
        <w:numPr>
          <w:ilvl w:val="0"/>
          <w:numId w:val="0"/>
        </w:numPr>
        <w:snapToGrid w:val="0"/>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lang w:val="en-US" w:eastAsia="zh-CN"/>
        </w:rPr>
        <w:t>3</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乙方须向甲方出具合法有效的完税发票，甲方进行支付结算。</w:t>
      </w:r>
    </w:p>
    <w:p w14:paraId="0859E1AB">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.合同期限：乙方收取净水费用的期限为</w:t>
      </w:r>
      <w:r>
        <w:rPr>
          <w:rFonts w:hint="eastAsia" w:ascii="仿宋" w:hAnsi="仿宋" w:eastAsia="仿宋" w:cs="仿宋"/>
          <w:b/>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b/>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b/>
          <w:sz w:val="28"/>
          <w:szCs w:val="28"/>
          <w:highlight w:val="none"/>
          <w:u w:val="single"/>
          <w:lang w:val="en-US" w:eastAsia="zh-CN"/>
        </w:rPr>
        <w:t xml:space="preserve">    </w:t>
      </w:r>
      <w:r>
        <w:rPr>
          <w:rFonts w:hint="eastAsia" w:ascii="仿宋" w:hAnsi="仿宋" w:eastAsia="仿宋" w:cs="仿宋"/>
          <w:sz w:val="28"/>
          <w:szCs w:val="28"/>
          <w:highlight w:val="none"/>
          <w:u w:val="none"/>
        </w:rPr>
        <w:t>日</w:t>
      </w:r>
      <w:r>
        <w:rPr>
          <w:rFonts w:hint="eastAsia" w:ascii="仿宋" w:hAnsi="仿宋" w:eastAsia="仿宋" w:cs="仿宋"/>
          <w:sz w:val="28"/>
          <w:szCs w:val="28"/>
          <w:highlight w:val="none"/>
        </w:rPr>
        <w:t>到</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b/>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b/>
          <w:sz w:val="28"/>
          <w:szCs w:val="28"/>
          <w:highlight w:val="none"/>
          <w:u w:val="single"/>
          <w:lang w:val="en-US" w:eastAsia="zh-CN"/>
        </w:rPr>
        <w:t xml:space="preserve">    </w:t>
      </w:r>
      <w:r>
        <w:rPr>
          <w:rFonts w:hint="eastAsia" w:ascii="仿宋" w:hAnsi="仿宋" w:eastAsia="仿宋" w:cs="仿宋"/>
          <w:sz w:val="28"/>
          <w:szCs w:val="28"/>
          <w:highlight w:val="none"/>
          <w:u w:val="none"/>
        </w:rPr>
        <w:t>日</w:t>
      </w:r>
      <w:r>
        <w:rPr>
          <w:rFonts w:hint="eastAsia" w:ascii="仿宋" w:hAnsi="仿宋" w:eastAsia="仿宋" w:cs="仿宋"/>
          <w:sz w:val="28"/>
          <w:szCs w:val="28"/>
          <w:highlight w:val="none"/>
        </w:rPr>
        <w:t>，共计</w:t>
      </w:r>
      <w:r>
        <w:rPr>
          <w:rFonts w:hint="eastAsia" w:ascii="仿宋" w:hAnsi="仿宋" w:eastAsia="仿宋" w:cs="仿宋"/>
          <w:b/>
          <w:sz w:val="28"/>
          <w:szCs w:val="28"/>
          <w:highlight w:val="none"/>
          <w:u w:val="single"/>
          <w:lang w:val="en-US" w:eastAsia="zh-CN"/>
        </w:rPr>
        <w:t xml:space="preserve">    </w:t>
      </w:r>
      <w:r>
        <w:rPr>
          <w:rFonts w:hint="eastAsia" w:ascii="仿宋" w:hAnsi="仿宋" w:eastAsia="仿宋" w:cs="仿宋"/>
          <w:sz w:val="28"/>
          <w:szCs w:val="28"/>
          <w:highlight w:val="none"/>
        </w:rPr>
        <w:t>年。</w:t>
      </w:r>
    </w:p>
    <w:p w14:paraId="1C8BF738">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4.交货、验收要求</w:t>
      </w:r>
    </w:p>
    <w:p w14:paraId="333789CB">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饮水设备到达使用单位指定地点后，所有产品在开箱时完好，无破损，配置与装箱单相符，数量、质量及性能不低于合同要求。使用单位和中标人共同签署到货验收单。未签收到货验收单的货物不得擅自开箱安装。拆箱后，中标人应对其全部产品、零件、配件、用户许可证书、资料、介质造册登记，登记册作为验收文档之一；成交人应负责在项目验收时将采购的全部有关产品说明书、原厂家安装手册、技术文件、资料、及安装、验收报告等文档汇集成册交付使用单位。</w:t>
      </w:r>
    </w:p>
    <w:p w14:paraId="0609CA8B">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（2）安装完成，成交人进行自检并形成自检报告，出现的问题限期整改。自检最终通过后，中标人提出验收申请，使用单位组织相关人员进行最终验收。</w:t>
      </w:r>
    </w:p>
    <w:p w14:paraId="5F08C7CA">
      <w:pPr>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（3）甲方接到乙方的验收通知后，甲方验收组应对其设备的原包装、产品合格证、使用说明书、装箱单等</w:t>
      </w:r>
      <w:r>
        <w:rPr>
          <w:rFonts w:hint="eastAsia" w:ascii="仿宋" w:hAnsi="仿宋" w:eastAsia="仿宋" w:cs="仿宋"/>
          <w:b w:val="0"/>
          <w:bCs w:val="0"/>
          <w:sz w:val="28"/>
          <w:szCs w:val="28"/>
          <w:highlight w:val="none"/>
          <w:lang w:val="en-US" w:eastAsia="zh-CN"/>
        </w:rPr>
        <w:t>随机文件</w:t>
      </w:r>
      <w:r>
        <w:rPr>
          <w:rFonts w:hint="eastAsia" w:ascii="仿宋" w:hAnsi="仿宋" w:eastAsia="仿宋" w:cs="仿宋"/>
          <w:sz w:val="28"/>
          <w:szCs w:val="28"/>
          <w:highlight w:val="none"/>
          <w:lang w:val="en-US" w:eastAsia="zh-CN"/>
        </w:rPr>
        <w:t>及保修手续和配置、安装、测试、运行、产品环境进行</w:t>
      </w:r>
      <w:r>
        <w:rPr>
          <w:rFonts w:hint="eastAsia" w:ascii="仿宋" w:hAnsi="仿宋" w:eastAsia="仿宋" w:cs="仿宋"/>
          <w:b w:val="0"/>
          <w:bCs w:val="0"/>
          <w:color w:val="auto"/>
          <w:sz w:val="28"/>
          <w:szCs w:val="28"/>
          <w:highlight w:val="none"/>
          <w:lang w:val="en-US" w:eastAsia="zh-CN"/>
        </w:rPr>
        <w:t>水质现场检测合格</w:t>
      </w:r>
      <w:r>
        <w:rPr>
          <w:rFonts w:hint="eastAsia" w:ascii="仿宋" w:hAnsi="仿宋" w:eastAsia="仿宋" w:cs="仿宋"/>
          <w:color w:val="auto"/>
          <w:sz w:val="28"/>
          <w:szCs w:val="28"/>
          <w:highlight w:val="none"/>
          <w:lang w:val="en-US" w:eastAsia="zh-CN"/>
        </w:rPr>
        <w:t xml:space="preserve">等逐项进行验收，其中一项不合格不能验收，视为不合格。 </w:t>
      </w:r>
    </w:p>
    <w:p w14:paraId="3ABB6B05">
      <w:pPr>
        <w:numPr>
          <w:ilvl w:val="0"/>
          <w:numId w:val="8"/>
        </w:numPr>
        <w:snapToGrid w:val="0"/>
        <w:spacing w:line="36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争议解决</w:t>
      </w:r>
    </w:p>
    <w:p w14:paraId="6F6DF443">
      <w:pPr>
        <w:ind w:firstLine="560" w:firstLineChars="200"/>
        <w:rPr>
          <w:rFonts w:ascii="仿宋" w:hAnsi="仿宋" w:eastAsia="仿宋" w:cs="仿宋"/>
          <w:color w:val="auto"/>
          <w:sz w:val="28"/>
          <w:szCs w:val="28"/>
          <w:highlight w:val="none"/>
        </w:rPr>
      </w:pPr>
      <w:bookmarkStart w:id="0" w:name="_GoBack"/>
      <w:bookmarkEnd w:id="0"/>
      <w:r>
        <w:rPr>
          <w:rFonts w:hint="eastAsia" w:ascii="仿宋" w:hAnsi="仿宋" w:eastAsia="仿宋" w:cs="仿宋"/>
          <w:color w:val="auto"/>
          <w:sz w:val="28"/>
          <w:szCs w:val="28"/>
          <w:highlight w:val="none"/>
        </w:rPr>
        <w:t>甲乙双方执行本协议如若发生争议，由当事人双方协商解决。协商不成，向甲方（学校）所在地人民法院提起诉讼。</w:t>
      </w:r>
    </w:p>
    <w:p w14:paraId="4E15C1D0">
      <w:pPr>
        <w:numPr>
          <w:ilvl w:val="0"/>
          <w:numId w:val="8"/>
        </w:numPr>
        <w:snapToGrid w:val="0"/>
        <w:spacing w:line="36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其他约定</w:t>
      </w:r>
    </w:p>
    <w:p w14:paraId="01299931">
      <w:pPr>
        <w:numPr>
          <w:ilvl w:val="0"/>
          <w:numId w:val="9"/>
        </w:numPr>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本协议未尽事宜</w:t>
      </w:r>
      <w:r>
        <w:rPr>
          <w:rFonts w:hint="eastAsia" w:ascii="仿宋" w:hAnsi="仿宋" w:eastAsia="仿宋" w:cs="仿宋"/>
          <w:b/>
          <w:bCs/>
          <w:color w:val="auto"/>
          <w:sz w:val="28"/>
          <w:szCs w:val="28"/>
          <w:highlight w:val="none"/>
        </w:rPr>
        <w:t>，</w:t>
      </w:r>
      <w:r>
        <w:rPr>
          <w:rFonts w:hint="eastAsia" w:ascii="仿宋" w:hAnsi="仿宋" w:eastAsia="仿宋" w:cs="仿宋"/>
          <w:color w:val="auto"/>
          <w:sz w:val="28"/>
          <w:szCs w:val="28"/>
          <w:highlight w:val="none"/>
        </w:rPr>
        <w:t>可经甲乙双方共同协商做出补充，补充协议与本协议具有同等法律效力。</w:t>
      </w:r>
    </w:p>
    <w:p w14:paraId="4FDA540A">
      <w:pPr>
        <w:numPr>
          <w:ilvl w:val="0"/>
          <w:numId w:val="9"/>
        </w:numPr>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合同终止后，乙方应保证在不影响甲方工作的情况下，对所布放的净水设备及管线进行拆除、搬移并免费恢复场地原状。</w:t>
      </w:r>
    </w:p>
    <w:p w14:paraId="5677E6CB">
      <w:pPr>
        <w:numPr>
          <w:ilvl w:val="0"/>
          <w:numId w:val="10"/>
        </w:numPr>
        <w:autoSpaceDE w:val="0"/>
        <w:autoSpaceDN w:val="0"/>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本协议自签订之日起生效,一式</w:t>
      </w:r>
      <w:r>
        <w:rPr>
          <w:rFonts w:hint="eastAsia" w:ascii="仿宋" w:hAnsi="仿宋" w:eastAsia="仿宋" w:cs="仿宋"/>
          <w:sz w:val="28"/>
          <w:szCs w:val="28"/>
          <w:highlight w:val="none"/>
          <w:lang w:eastAsia="zh-CN"/>
        </w:rPr>
        <w:t>肆</w:t>
      </w:r>
      <w:r>
        <w:rPr>
          <w:rFonts w:hint="eastAsia" w:ascii="仿宋" w:hAnsi="仿宋" w:eastAsia="仿宋" w:cs="仿宋"/>
          <w:sz w:val="28"/>
          <w:szCs w:val="28"/>
          <w:highlight w:val="none"/>
        </w:rPr>
        <w:t>份，甲方执</w:t>
      </w:r>
      <w:r>
        <w:rPr>
          <w:rFonts w:hint="eastAsia" w:ascii="仿宋" w:hAnsi="仿宋" w:eastAsia="仿宋" w:cs="仿宋"/>
          <w:sz w:val="28"/>
          <w:szCs w:val="28"/>
          <w:highlight w:val="none"/>
          <w:lang w:eastAsia="zh-CN"/>
        </w:rPr>
        <w:t>叁</w:t>
      </w:r>
      <w:r>
        <w:rPr>
          <w:rFonts w:hint="eastAsia" w:ascii="仿宋" w:hAnsi="仿宋" w:eastAsia="仿宋" w:cs="仿宋"/>
          <w:sz w:val="28"/>
          <w:szCs w:val="28"/>
          <w:highlight w:val="none"/>
        </w:rPr>
        <w:t>份，乙方执</w:t>
      </w:r>
      <w:r>
        <w:rPr>
          <w:rFonts w:hint="eastAsia" w:ascii="仿宋" w:hAnsi="仿宋" w:eastAsia="仿宋" w:cs="仿宋"/>
          <w:sz w:val="28"/>
          <w:szCs w:val="28"/>
          <w:highlight w:val="none"/>
          <w:lang w:eastAsia="zh-CN"/>
        </w:rPr>
        <w:t>壹</w:t>
      </w:r>
      <w:r>
        <w:rPr>
          <w:rFonts w:hint="eastAsia" w:ascii="仿宋" w:hAnsi="仿宋" w:eastAsia="仿宋" w:cs="仿宋"/>
          <w:sz w:val="28"/>
          <w:szCs w:val="28"/>
          <w:highlight w:val="none"/>
        </w:rPr>
        <w:t>份。</w:t>
      </w:r>
    </w:p>
    <w:p w14:paraId="2646E95D">
      <w:pPr>
        <w:pStyle w:val="2"/>
        <w:widowControl w:val="0"/>
        <w:numPr>
          <w:ilvl w:val="0"/>
          <w:numId w:val="0"/>
        </w:numPr>
        <w:snapToGrid w:val="0"/>
        <w:jc w:val="left"/>
      </w:pPr>
    </w:p>
    <w:p w14:paraId="1167046D">
      <w:pPr>
        <w:pStyle w:val="2"/>
        <w:widowControl w:val="0"/>
        <w:numPr>
          <w:ilvl w:val="0"/>
          <w:numId w:val="0"/>
        </w:numPr>
        <w:snapToGrid w:val="0"/>
        <w:jc w:val="left"/>
      </w:pPr>
    </w:p>
    <w:p w14:paraId="233752D0">
      <w:pPr>
        <w:pStyle w:val="2"/>
        <w:widowControl w:val="0"/>
        <w:numPr>
          <w:ilvl w:val="0"/>
          <w:numId w:val="0"/>
        </w:numPr>
        <w:snapToGrid w:val="0"/>
        <w:jc w:val="left"/>
      </w:pPr>
    </w:p>
    <w:p w14:paraId="690445F2">
      <w:r>
        <w:br w:type="page"/>
      </w:r>
    </w:p>
    <w:p w14:paraId="5AF3FCFE">
      <w:pPr>
        <w:pStyle w:val="2"/>
        <w:rPr>
          <w:highlight w:val="none"/>
        </w:rPr>
      </w:pPr>
    </w:p>
    <w:tbl>
      <w:tblPr>
        <w:tblStyle w:val="3"/>
        <w:tblW w:w="8629" w:type="dxa"/>
        <w:jc w:val="center"/>
        <w:tblLayout w:type="fixed"/>
        <w:tblCellMar>
          <w:top w:w="0" w:type="dxa"/>
          <w:left w:w="108" w:type="dxa"/>
          <w:bottom w:w="0" w:type="dxa"/>
          <w:right w:w="108" w:type="dxa"/>
        </w:tblCellMar>
      </w:tblPr>
      <w:tblGrid>
        <w:gridCol w:w="4201"/>
        <w:gridCol w:w="4428"/>
      </w:tblGrid>
      <w:tr w14:paraId="217CA88C">
        <w:tblPrEx>
          <w:tblCellMar>
            <w:top w:w="0" w:type="dxa"/>
            <w:left w:w="108" w:type="dxa"/>
            <w:bottom w:w="0" w:type="dxa"/>
            <w:right w:w="108" w:type="dxa"/>
          </w:tblCellMar>
        </w:tblPrEx>
        <w:trPr>
          <w:trHeight w:val="567" w:hRule="exact"/>
          <w:jc w:val="center"/>
        </w:trPr>
        <w:tc>
          <w:tcPr>
            <w:tcW w:w="4201" w:type="dxa"/>
            <w:vAlign w:val="center"/>
          </w:tcPr>
          <w:p w14:paraId="742E2436">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甲  方：</w:t>
            </w:r>
          </w:p>
        </w:tc>
        <w:tc>
          <w:tcPr>
            <w:tcW w:w="4428" w:type="dxa"/>
            <w:vAlign w:val="center"/>
          </w:tcPr>
          <w:p w14:paraId="5D97DDC7">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乙  方：</w:t>
            </w:r>
          </w:p>
        </w:tc>
      </w:tr>
      <w:tr w14:paraId="1DD3F6B6">
        <w:tblPrEx>
          <w:tblCellMar>
            <w:top w:w="0" w:type="dxa"/>
            <w:left w:w="108" w:type="dxa"/>
            <w:bottom w:w="0" w:type="dxa"/>
            <w:right w:w="108" w:type="dxa"/>
          </w:tblCellMar>
        </w:tblPrEx>
        <w:trPr>
          <w:trHeight w:val="567" w:hRule="exact"/>
          <w:jc w:val="center"/>
        </w:trPr>
        <w:tc>
          <w:tcPr>
            <w:tcW w:w="4201" w:type="dxa"/>
            <w:vAlign w:val="center"/>
          </w:tcPr>
          <w:p w14:paraId="78A227E5">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（盖章）</w:t>
            </w:r>
          </w:p>
        </w:tc>
        <w:tc>
          <w:tcPr>
            <w:tcW w:w="4428" w:type="dxa"/>
            <w:vAlign w:val="center"/>
          </w:tcPr>
          <w:p w14:paraId="2CCB5674">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（盖章）</w:t>
            </w:r>
          </w:p>
        </w:tc>
      </w:tr>
      <w:tr w14:paraId="0C4D5E73">
        <w:tblPrEx>
          <w:tblCellMar>
            <w:top w:w="0" w:type="dxa"/>
            <w:left w:w="108" w:type="dxa"/>
            <w:bottom w:w="0" w:type="dxa"/>
            <w:right w:w="108" w:type="dxa"/>
          </w:tblCellMar>
        </w:tblPrEx>
        <w:trPr>
          <w:trHeight w:val="767" w:hRule="exact"/>
          <w:jc w:val="center"/>
        </w:trPr>
        <w:tc>
          <w:tcPr>
            <w:tcW w:w="4201" w:type="dxa"/>
            <w:vAlign w:val="center"/>
          </w:tcPr>
          <w:p w14:paraId="2F52DEB1">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 xml:space="preserve">地址： </w:t>
            </w:r>
          </w:p>
        </w:tc>
        <w:tc>
          <w:tcPr>
            <w:tcW w:w="4428" w:type="dxa"/>
            <w:vAlign w:val="center"/>
          </w:tcPr>
          <w:p w14:paraId="2A228B40">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地址：</w:t>
            </w:r>
          </w:p>
        </w:tc>
      </w:tr>
      <w:tr w14:paraId="36715811">
        <w:tblPrEx>
          <w:tblCellMar>
            <w:top w:w="0" w:type="dxa"/>
            <w:left w:w="108" w:type="dxa"/>
            <w:bottom w:w="0" w:type="dxa"/>
            <w:right w:w="108" w:type="dxa"/>
          </w:tblCellMar>
        </w:tblPrEx>
        <w:trPr>
          <w:trHeight w:val="567" w:hRule="exact"/>
          <w:jc w:val="center"/>
        </w:trPr>
        <w:tc>
          <w:tcPr>
            <w:tcW w:w="4201" w:type="dxa"/>
            <w:vAlign w:val="center"/>
          </w:tcPr>
          <w:p w14:paraId="5F0485AC">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税号：</w:t>
            </w:r>
          </w:p>
        </w:tc>
        <w:tc>
          <w:tcPr>
            <w:tcW w:w="4428" w:type="dxa"/>
            <w:vAlign w:val="center"/>
          </w:tcPr>
          <w:p w14:paraId="526BC3BB">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税 号：</w:t>
            </w:r>
          </w:p>
        </w:tc>
      </w:tr>
      <w:tr w14:paraId="2CDF377B">
        <w:tblPrEx>
          <w:tblCellMar>
            <w:top w:w="0" w:type="dxa"/>
            <w:left w:w="108" w:type="dxa"/>
            <w:bottom w:w="0" w:type="dxa"/>
            <w:right w:w="108" w:type="dxa"/>
          </w:tblCellMar>
        </w:tblPrEx>
        <w:trPr>
          <w:trHeight w:val="567" w:hRule="exact"/>
          <w:jc w:val="center"/>
        </w:trPr>
        <w:tc>
          <w:tcPr>
            <w:tcW w:w="4201" w:type="dxa"/>
            <w:vAlign w:val="center"/>
          </w:tcPr>
          <w:p w14:paraId="34EC1B4C">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 xml:space="preserve"> </w:t>
            </w:r>
          </w:p>
        </w:tc>
        <w:tc>
          <w:tcPr>
            <w:tcW w:w="4428" w:type="dxa"/>
            <w:vAlign w:val="center"/>
          </w:tcPr>
          <w:p w14:paraId="2C570FA8">
            <w:pPr>
              <w:snapToGrid w:val="0"/>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p>
        </w:tc>
      </w:tr>
      <w:tr w14:paraId="58BD39C2">
        <w:tblPrEx>
          <w:tblCellMar>
            <w:top w:w="0" w:type="dxa"/>
            <w:left w:w="108" w:type="dxa"/>
            <w:bottom w:w="0" w:type="dxa"/>
            <w:right w:w="108" w:type="dxa"/>
          </w:tblCellMar>
        </w:tblPrEx>
        <w:trPr>
          <w:trHeight w:val="567" w:hRule="exact"/>
          <w:jc w:val="center"/>
        </w:trPr>
        <w:tc>
          <w:tcPr>
            <w:tcW w:w="4201" w:type="dxa"/>
            <w:vAlign w:val="center"/>
          </w:tcPr>
          <w:p w14:paraId="7735E151">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被授权代表</w:t>
            </w:r>
            <w:r>
              <w:rPr>
                <w:rFonts w:hint="eastAsia" w:ascii="仿宋" w:hAnsi="仿宋" w:eastAsia="仿宋" w:cs="仿宋"/>
                <w:sz w:val="24"/>
                <w:szCs w:val="24"/>
                <w:highlight w:val="none"/>
                <w:lang w:val="en-US" w:eastAsia="zh-CN"/>
              </w:rPr>
              <w:t>人</w:t>
            </w:r>
            <w:r>
              <w:rPr>
                <w:rFonts w:hint="eastAsia" w:ascii="仿宋" w:hAnsi="仿宋" w:eastAsia="仿宋" w:cs="仿宋"/>
                <w:sz w:val="24"/>
                <w:szCs w:val="24"/>
                <w:highlight w:val="none"/>
              </w:rPr>
              <w:t>：</w:t>
            </w:r>
          </w:p>
        </w:tc>
        <w:tc>
          <w:tcPr>
            <w:tcW w:w="4428" w:type="dxa"/>
            <w:vAlign w:val="center"/>
          </w:tcPr>
          <w:p w14:paraId="473FBBF2">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被授权代表</w:t>
            </w:r>
            <w:r>
              <w:rPr>
                <w:rFonts w:hint="eastAsia" w:ascii="仿宋" w:hAnsi="仿宋" w:eastAsia="仿宋" w:cs="仿宋"/>
                <w:sz w:val="24"/>
                <w:szCs w:val="24"/>
                <w:highlight w:val="none"/>
                <w:lang w:val="en-US" w:eastAsia="zh-CN"/>
              </w:rPr>
              <w:t>人</w:t>
            </w:r>
            <w:r>
              <w:rPr>
                <w:rFonts w:hint="eastAsia" w:ascii="仿宋" w:hAnsi="仿宋" w:eastAsia="仿宋" w:cs="仿宋"/>
                <w:sz w:val="24"/>
                <w:szCs w:val="24"/>
                <w:highlight w:val="none"/>
              </w:rPr>
              <w:t>：</w:t>
            </w:r>
          </w:p>
        </w:tc>
      </w:tr>
      <w:tr w14:paraId="6B84B5F2">
        <w:tblPrEx>
          <w:tblCellMar>
            <w:top w:w="0" w:type="dxa"/>
            <w:left w:w="108" w:type="dxa"/>
            <w:bottom w:w="0" w:type="dxa"/>
            <w:right w:w="108" w:type="dxa"/>
          </w:tblCellMar>
        </w:tblPrEx>
        <w:trPr>
          <w:trHeight w:val="567" w:hRule="exact"/>
          <w:jc w:val="center"/>
        </w:trPr>
        <w:tc>
          <w:tcPr>
            <w:tcW w:w="4201" w:type="dxa"/>
            <w:vAlign w:val="center"/>
          </w:tcPr>
          <w:p w14:paraId="129397C9">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电话：</w:t>
            </w:r>
          </w:p>
        </w:tc>
        <w:tc>
          <w:tcPr>
            <w:tcW w:w="4428" w:type="dxa"/>
            <w:vAlign w:val="center"/>
          </w:tcPr>
          <w:p w14:paraId="73E7727B">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电话：</w:t>
            </w:r>
          </w:p>
        </w:tc>
      </w:tr>
      <w:tr w14:paraId="69471F73">
        <w:tblPrEx>
          <w:tblCellMar>
            <w:top w:w="0" w:type="dxa"/>
            <w:left w:w="108" w:type="dxa"/>
            <w:bottom w:w="0" w:type="dxa"/>
            <w:right w:w="108" w:type="dxa"/>
          </w:tblCellMar>
        </w:tblPrEx>
        <w:trPr>
          <w:trHeight w:val="927" w:hRule="exact"/>
          <w:jc w:val="center"/>
        </w:trPr>
        <w:tc>
          <w:tcPr>
            <w:tcW w:w="4201" w:type="dxa"/>
            <w:vAlign w:val="center"/>
          </w:tcPr>
          <w:p w14:paraId="1667D858">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4428" w:type="dxa"/>
            <w:vAlign w:val="center"/>
          </w:tcPr>
          <w:p w14:paraId="2B17209A">
            <w:pPr>
              <w:pStyle w:val="2"/>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6FAFA80E">
        <w:tblPrEx>
          <w:tblCellMar>
            <w:top w:w="0" w:type="dxa"/>
            <w:left w:w="108" w:type="dxa"/>
            <w:bottom w:w="0" w:type="dxa"/>
            <w:right w:w="108" w:type="dxa"/>
          </w:tblCellMar>
        </w:tblPrEx>
        <w:trPr>
          <w:trHeight w:val="567" w:hRule="exact"/>
          <w:jc w:val="center"/>
        </w:trPr>
        <w:tc>
          <w:tcPr>
            <w:tcW w:w="4201" w:type="dxa"/>
            <w:vAlign w:val="center"/>
          </w:tcPr>
          <w:p w14:paraId="62249721">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日期：</w:t>
            </w:r>
          </w:p>
        </w:tc>
        <w:tc>
          <w:tcPr>
            <w:tcW w:w="4428" w:type="dxa"/>
            <w:vAlign w:val="center"/>
          </w:tcPr>
          <w:p w14:paraId="75733B02">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日期：</w:t>
            </w:r>
          </w:p>
        </w:tc>
      </w:tr>
    </w:tbl>
    <w:p w14:paraId="530852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space"/>
      <w:lvlText w:val="第%1条"/>
      <w:lvlJc w:val="left"/>
    </w:lvl>
  </w:abstractNum>
  <w:abstractNum w:abstractNumId="1">
    <w:nsid w:val="00000001"/>
    <w:multiLevelType w:val="singleLevel"/>
    <w:tmpl w:val="00000001"/>
    <w:lvl w:ilvl="0" w:tentative="0">
      <w:start w:val="3"/>
      <w:numFmt w:val="chineseCounting"/>
      <w:suff w:val="space"/>
      <w:lvlText w:val="第%1条"/>
      <w:lvlJc w:val="left"/>
    </w:lvl>
  </w:abstractNum>
  <w:abstractNum w:abstractNumId="2">
    <w:nsid w:val="00000002"/>
    <w:multiLevelType w:val="singleLevel"/>
    <w:tmpl w:val="00000002"/>
    <w:lvl w:ilvl="0" w:tentative="0">
      <w:start w:val="1"/>
      <w:numFmt w:val="chineseCounting"/>
      <w:suff w:val="nothing"/>
      <w:lvlText w:val="%1、"/>
      <w:lvlJc w:val="left"/>
    </w:lvl>
  </w:abstractNum>
  <w:abstractNum w:abstractNumId="3">
    <w:nsid w:val="00000003"/>
    <w:multiLevelType w:val="singleLevel"/>
    <w:tmpl w:val="00000003"/>
    <w:lvl w:ilvl="0" w:tentative="0">
      <w:start w:val="1"/>
      <w:numFmt w:val="decimal"/>
      <w:suff w:val="nothing"/>
      <w:lvlText w:val="%1."/>
      <w:lvlJc w:val="left"/>
    </w:lvl>
  </w:abstractNum>
  <w:abstractNum w:abstractNumId="4">
    <w:nsid w:val="00000004"/>
    <w:multiLevelType w:val="singleLevel"/>
    <w:tmpl w:val="00000004"/>
    <w:lvl w:ilvl="0" w:tentative="0">
      <w:start w:val="2"/>
      <w:numFmt w:val="chineseCounting"/>
      <w:suff w:val="nothing"/>
      <w:lvlText w:val="%1、"/>
      <w:lvlJc w:val="left"/>
    </w:lvl>
  </w:abstractNum>
  <w:abstractNum w:abstractNumId="5">
    <w:nsid w:val="00000005"/>
    <w:multiLevelType w:val="singleLevel"/>
    <w:tmpl w:val="00000005"/>
    <w:lvl w:ilvl="0" w:tentative="0">
      <w:start w:val="1"/>
      <w:numFmt w:val="decimal"/>
      <w:suff w:val="nothing"/>
      <w:lvlText w:val="%1."/>
      <w:lvlJc w:val="left"/>
    </w:lvl>
  </w:abstractNum>
  <w:abstractNum w:abstractNumId="6">
    <w:nsid w:val="00000006"/>
    <w:multiLevelType w:val="singleLevel"/>
    <w:tmpl w:val="00000006"/>
    <w:lvl w:ilvl="0" w:tentative="0">
      <w:start w:val="4"/>
      <w:numFmt w:val="chineseCounting"/>
      <w:suff w:val="space"/>
      <w:lvlText w:val="第%1条"/>
      <w:lvlJc w:val="left"/>
    </w:lvl>
  </w:abstractNum>
  <w:abstractNum w:abstractNumId="7">
    <w:nsid w:val="00000008"/>
    <w:multiLevelType w:val="singleLevel"/>
    <w:tmpl w:val="00000008"/>
    <w:lvl w:ilvl="0" w:tentative="0">
      <w:start w:val="5"/>
      <w:numFmt w:val="chineseCounting"/>
      <w:suff w:val="space"/>
      <w:lvlText w:val="第%1条"/>
      <w:lvlJc w:val="left"/>
    </w:lvl>
  </w:abstractNum>
  <w:abstractNum w:abstractNumId="8">
    <w:nsid w:val="00000009"/>
    <w:multiLevelType w:val="singleLevel"/>
    <w:tmpl w:val="00000009"/>
    <w:lvl w:ilvl="0" w:tentative="0">
      <w:start w:val="1"/>
      <w:numFmt w:val="decimal"/>
      <w:suff w:val="nothing"/>
      <w:lvlText w:val="%1."/>
      <w:lvlJc w:val="left"/>
    </w:lvl>
  </w:abstractNum>
  <w:abstractNum w:abstractNumId="9">
    <w:nsid w:val="61AB2B19"/>
    <w:multiLevelType w:val="singleLevel"/>
    <w:tmpl w:val="61AB2B19"/>
    <w:lvl w:ilvl="0" w:tentative="0">
      <w:start w:val="3"/>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46CE5"/>
    <w:rsid w:val="00DC5E6F"/>
    <w:rsid w:val="04FC2660"/>
    <w:rsid w:val="05CF5FA2"/>
    <w:rsid w:val="08A6123D"/>
    <w:rsid w:val="0A892BC4"/>
    <w:rsid w:val="0B0C55A3"/>
    <w:rsid w:val="0D074274"/>
    <w:rsid w:val="0D991370"/>
    <w:rsid w:val="11846CE5"/>
    <w:rsid w:val="147541B9"/>
    <w:rsid w:val="20686980"/>
    <w:rsid w:val="26377520"/>
    <w:rsid w:val="2A0B4F4C"/>
    <w:rsid w:val="3328091C"/>
    <w:rsid w:val="44E328F5"/>
    <w:rsid w:val="471E5E67"/>
    <w:rsid w:val="4A0F5F3A"/>
    <w:rsid w:val="4C115F9A"/>
    <w:rsid w:val="4F135884"/>
    <w:rsid w:val="50274F84"/>
    <w:rsid w:val="56431446"/>
    <w:rsid w:val="61B256D1"/>
    <w:rsid w:val="62B45479"/>
    <w:rsid w:val="6E5D0B20"/>
    <w:rsid w:val="715B3690"/>
    <w:rsid w:val="74DD3CC3"/>
    <w:rsid w:val="7A715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1833</Words>
  <Characters>1843</Characters>
  <Lines>0</Lines>
  <Paragraphs>0</Paragraphs>
  <TotalTime>125</TotalTime>
  <ScaleCrop>false</ScaleCrop>
  <LinksUpToDate>false</LinksUpToDate>
  <CharactersWithSpaces>1956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2026-04-15T06:18:00Z</dcterms:created>
  <dc:creator>哎呦</dc:creator>
  <cp:lastModifiedBy>哎呦</cp:lastModifiedBy>
  <dcterms:modified xsi:type="dcterms:W3CDTF">2026-04-20T05:51:15Z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9B28D0C85B124202A8E1809A360F785A_13</vt:lpwstr>
  </property>
  <property fmtid="{D5CDD505-2E9C-101B-9397-08002B2CF9AE}" pid="4" name="KSOTemplateDocerSaveRecord">
    <vt:lpwstr>eyJoZGlkIjoiNmY2NTZhMDBiNDhiMmU1ZGI1YzkzMmJkNzAwMDlhMmQiLCJ1c2VySWQiOiI0MzQxNzA0MDcifQ==</vt:lpwstr>
  </property>
</Properties>
</file>