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版本号：YHZB2026-J-01920260419001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人力资源服务采购项目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YHZB2026-J-019</w:t>
      </w:r>
      <w:r>
        <w:br/>
      </w:r>
      <w:r>
        <w:br/>
      </w:r>
      <w:r>
        <w:br/>
      </w:r>
    </w:p>
    <w:p>
      <w:pPr>
        <w:pStyle w:val="null3"/>
        <w:jc w:val="center"/>
        <w:outlineLvl w:val="2"/>
      </w:pPr>
      <w:r>
        <w:rPr>
          <w:rFonts w:ascii="仿宋_GB2312" w:hAnsi="仿宋_GB2312" w:cs="仿宋_GB2312" w:eastAsia="仿宋_GB2312"/>
          <w:sz w:val="28"/>
          <w:b/>
        </w:rPr>
        <w:t>西安市灞桥区科学技术和工业信息化局</w:t>
      </w:r>
    </w:p>
    <w:p>
      <w:pPr>
        <w:pStyle w:val="null3"/>
        <w:jc w:val="center"/>
        <w:outlineLvl w:val="2"/>
      </w:pPr>
      <w:r>
        <w:rPr>
          <w:rFonts w:ascii="仿宋_GB2312" w:hAnsi="仿宋_GB2312" w:cs="仿宋_GB2312" w:eastAsia="仿宋_GB2312"/>
          <w:sz w:val="28"/>
          <w:b/>
        </w:rPr>
        <w:t>陕西远华招标有限公司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陕西远华招标有限公司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西安市灞桥区科学技术和工业信息化局</w:t>
      </w:r>
      <w:r>
        <w:rPr>
          <w:rFonts w:ascii="仿宋_GB2312" w:hAnsi="仿宋_GB2312" w:cs="仿宋_GB2312" w:eastAsia="仿宋_GB2312"/>
        </w:rPr>
        <w:t>委托，拟对</w:t>
      </w:r>
      <w:r>
        <w:rPr>
          <w:rFonts w:ascii="仿宋_GB2312" w:hAnsi="仿宋_GB2312" w:cs="仿宋_GB2312" w:eastAsia="仿宋_GB2312"/>
        </w:rPr>
        <w:t>人力资源服务采购项目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YHZB2026-J-019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人力资源服务采购项目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采购人力资源服务项目，负责辅助开展大力发展先进制造业、散乱污等工作，保障工作顺利开展。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采购包1（人力资源服务采购）：属于专门面向中小企业采购。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1、具有独立承担民事责任的能力：提供独立承担民事责任能力的法人、其他组织或自然人，企业法人、其他组织须具有合法有效的营业执照（或事业单位法人证书）等证明资料,自然人须具有身份证明</w:t>
      </w:r>
    </w:p>
    <w:p>
      <w:pPr>
        <w:pStyle w:val="null3"/>
      </w:pPr>
      <w:r>
        <w:rPr>
          <w:rFonts w:ascii="仿宋_GB2312" w:hAnsi="仿宋_GB2312" w:cs="仿宋_GB2312" w:eastAsia="仿宋_GB2312"/>
        </w:rPr>
        <w:t>2、具有良好的商业信誉和健全的财务会计制度：提供 2025 年度经审计的财务报告(供应商成立时间至提交磋商响应文件载止时间不足一年的，可提供成立后任意时段的资产负债表)，或基本存款账户开户银行出具的资信证明及基本存款账户开户许可证(或《基本存款账户信息》)(以上两种形式的资料提供任何一种即可)注:财会〔2023〕15 号文《财政部 国务院国资委 金融监管总局关于加强审计报告查验工作的通知》会计师事务所应当主动向被审计单位提供附验证码的审计报告，即2023 年及以后的审计报告需附验证码</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磋商截止时间前6个月内任意一个月依法缴纳社会保障资金的证明文件；提供磋商截止时间前6个月内任意一个月依法缴纳税收的良好记录。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6、法定代表人授权委托书：提供法定代表人授权委托书（附法定代表人及被授权人身份证复印件)，法定代表人直接参加只需提供法定代表人身份证明及身份证原件，非法人单位参照执行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7、营业资质：提供行业行政主管部门颁发的《人力资源服务许可证》或《劳务派遣经营许可证》扫描件加盖公章</w:t>
      </w:r>
    </w:p>
    <w:p>
      <w:pPr>
        <w:pStyle w:val="null3"/>
      </w:pPr>
      <w:r>
        <w:rPr>
          <w:rFonts w:ascii="仿宋_GB2312" w:hAnsi="仿宋_GB2312" w:cs="仿宋_GB2312" w:eastAsia="仿宋_GB2312"/>
        </w:rPr>
        <w:t>8、信用状况：供应商未被“信用中国”网站（www.creditchina.gov.cn）列入失信被执行人和重大税收违法失信主体，未被中国政府采购网（www.ccgp.gov.cn）列入政府采购严重违法失信行为记录名单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西安市灞桥区科学技术和工业信息化局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西安市灞桥区纺正街556号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西安市灞桥区科学技术和工业信息化局经办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029-83518876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陕西远华招标有限公司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西安市灞桥区沁水路与安泰路交汇处东草南兴善社区北门商铺东侧铁门内一楼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晁曼、陈娟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采购包1：791,800.00元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单位领取成交结果通知书时，由成交单位按国家计委颁发的《招标代理服务收费管理暂行办法》（计价格[2002]1980号）、国家发展和改革委员会办公厅颁发的《关于招标代理服务收费有关问题的通知》（发改办价格〔2003〕857号）规定，向采购代理机构一次支付招标代理服务费。 开户名称：陕西远华招标有限公司 开户行名称：西安银行股份有限公司纺织城支行 帐 号：381011580000091472 （提交代理服务费时，请标明项目名称、编号、事由）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西安市灞桥区科学技术和工业信息化局</w:t>
      </w:r>
      <w:r>
        <w:rPr>
          <w:rFonts w:ascii="仿宋_GB2312" w:hAnsi="仿宋_GB2312" w:cs="仿宋_GB2312" w:eastAsia="仿宋_GB2312"/>
        </w:rPr>
        <w:t>和</w:t>
      </w:r>
      <w:r>
        <w:rPr>
          <w:rFonts w:ascii="仿宋_GB2312" w:hAnsi="仿宋_GB2312" w:cs="仿宋_GB2312" w:eastAsia="仿宋_GB2312"/>
        </w:rPr>
        <w:t>陕西远华招标有限公司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西安市灞桥区科学技术和工业信息化局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陕西远华招标有限公司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西安市灞桥区科学技术和工业信息化局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陕西远华招标有限公司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达到磋商文件要求及国家和地方现行规范标准。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联系人：晁曼、陈娟</w:t>
      </w:r>
    </w:p>
    <w:p>
      <w:pPr>
        <w:pStyle w:val="null3"/>
      </w:pPr>
      <w:r>
        <w:rPr>
          <w:rFonts w:ascii="仿宋_GB2312" w:hAnsi="仿宋_GB2312" w:cs="仿宋_GB2312" w:eastAsia="仿宋_GB2312"/>
        </w:rPr>
        <w:t>联系电话：029-83231898</w:t>
      </w:r>
    </w:p>
    <w:p>
      <w:pPr>
        <w:pStyle w:val="null3"/>
      </w:pPr>
      <w:r>
        <w:rPr>
          <w:rFonts w:ascii="仿宋_GB2312" w:hAnsi="仿宋_GB2312" w:cs="仿宋_GB2312" w:eastAsia="仿宋_GB2312"/>
        </w:rPr>
        <w:t>地址：西安市灞桥区沁水路与安泰路交汇处东草南兴善社区北门商铺东侧铁门内一楼</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采购人力资源服务项目，负责辅助开展大力发展先进制造业、散乱污等工作，保障工作顺利开展。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791,800.00</w:t>
      </w:r>
    </w:p>
    <w:p>
      <w:pPr>
        <w:pStyle w:val="null3"/>
      </w:pPr>
      <w:r>
        <w:rPr>
          <w:rFonts w:ascii="仿宋_GB2312" w:hAnsi="仿宋_GB2312" w:cs="仿宋_GB2312" w:eastAsia="仿宋_GB2312"/>
        </w:rPr>
        <w:t>采购包最高限价（元）: 791,800.00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791,800.00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 xml:space="preserve">  一、项目概况</w:t>
            </w:r>
          </w:p>
          <w:p>
            <w:pPr>
              <w:pStyle w:val="null3"/>
              <w:ind w:firstLine="440"/>
              <w:jc w:val="both"/>
            </w:pPr>
            <w:r>
              <w:rPr>
                <w:rFonts w:ascii="仿宋_GB2312" w:hAnsi="仿宋_GB2312" w:cs="仿宋_GB2312" w:eastAsia="仿宋_GB2312"/>
                <w:sz w:val="22"/>
              </w:rPr>
              <w:t>本项目为西安市灞桥区科学技术和工业信息化局人力资源服务，具体包括人员派遣、产业发展辅助、环保整治辅助、日常行政辅助等相关服务，为采购单位先进制造业发展、散乱污企业整治等政务工作提供专业人力支撑</w:t>
            </w:r>
            <w:r>
              <w:rPr>
                <w:rFonts w:ascii="仿宋_GB2312" w:hAnsi="仿宋_GB2312" w:cs="仿宋_GB2312" w:eastAsia="仿宋_GB2312"/>
                <w:sz w:val="22"/>
              </w:rPr>
              <w:t>不超过</w:t>
            </w:r>
            <w:r>
              <w:rPr>
                <w:rFonts w:ascii="仿宋_GB2312" w:hAnsi="仿宋_GB2312" w:cs="仿宋_GB2312" w:eastAsia="仿宋_GB2312"/>
                <w:sz w:val="22"/>
              </w:rPr>
              <w:t>18人</w:t>
            </w:r>
            <w:r>
              <w:rPr>
                <w:rFonts w:ascii="仿宋_GB2312" w:hAnsi="仿宋_GB2312" w:cs="仿宋_GB2312" w:eastAsia="仿宋_GB2312"/>
                <w:sz w:val="22"/>
              </w:rPr>
              <w:t>，保障各项工作高效有序推进。</w:t>
            </w:r>
          </w:p>
          <w:p>
            <w:pPr>
              <w:pStyle w:val="null3"/>
              <w:ind w:firstLine="440"/>
              <w:jc w:val="both"/>
            </w:pPr>
            <w:r>
              <w:rPr>
                <w:rFonts w:ascii="仿宋_GB2312" w:hAnsi="仿宋_GB2312" w:cs="仿宋_GB2312" w:eastAsia="仿宋_GB2312"/>
                <w:sz w:val="22"/>
                <w:b/>
              </w:rPr>
              <w:t>二、服务要求</w:t>
            </w:r>
          </w:p>
          <w:p>
            <w:pPr>
              <w:pStyle w:val="null3"/>
              <w:ind w:firstLine="440"/>
              <w:jc w:val="both"/>
            </w:pPr>
            <w:r>
              <w:rPr>
                <w:rFonts w:ascii="仿宋_GB2312" w:hAnsi="仿宋_GB2312" w:cs="仿宋_GB2312" w:eastAsia="仿宋_GB2312"/>
                <w:sz w:val="22"/>
                <w:b/>
              </w:rPr>
              <w:t>（一）服务内容</w:t>
            </w:r>
          </w:p>
          <w:p>
            <w:pPr>
              <w:pStyle w:val="null3"/>
              <w:ind w:firstLine="440"/>
              <w:jc w:val="both"/>
            </w:pPr>
            <w:r>
              <w:rPr>
                <w:rFonts w:ascii="仿宋_GB2312" w:hAnsi="仿宋_GB2312" w:cs="仿宋_GB2312" w:eastAsia="仿宋_GB2312"/>
                <w:sz w:val="22"/>
              </w:rPr>
              <w:t>供应商需为本项目安排专门的、管理经验丰富的项目管理团队。</w:t>
            </w:r>
          </w:p>
          <w:p>
            <w:pPr>
              <w:pStyle w:val="null3"/>
              <w:ind w:firstLine="440"/>
              <w:jc w:val="both"/>
            </w:pPr>
            <w:r>
              <w:rPr>
                <w:rFonts w:ascii="仿宋_GB2312" w:hAnsi="仿宋_GB2312" w:cs="仿宋_GB2312" w:eastAsia="仿宋_GB2312"/>
                <w:sz w:val="22"/>
              </w:rPr>
              <w:t>1.招聘管理要求</w:t>
            </w:r>
          </w:p>
          <w:p>
            <w:pPr>
              <w:pStyle w:val="null3"/>
              <w:ind w:firstLine="440"/>
              <w:jc w:val="both"/>
            </w:pPr>
            <w:r>
              <w:rPr>
                <w:rFonts w:ascii="仿宋_GB2312" w:hAnsi="仿宋_GB2312" w:cs="仿宋_GB2312" w:eastAsia="仿宋_GB2312"/>
                <w:sz w:val="22"/>
              </w:rPr>
              <w:t>供应商应当对被派出到采购人的派遣员工进行必要的培训，涉及内容至少包括采购人公司简介、法律意识、安全意识和职业道德等。供应商应当保证受训人对于培训内容全部了解并掌握，使其能较好胜任劳务工作。</w:t>
            </w:r>
          </w:p>
          <w:p>
            <w:pPr>
              <w:pStyle w:val="null3"/>
              <w:ind w:firstLine="440"/>
              <w:jc w:val="both"/>
            </w:pPr>
            <w:r>
              <w:rPr>
                <w:rFonts w:ascii="仿宋_GB2312" w:hAnsi="仿宋_GB2312" w:cs="仿宋_GB2312" w:eastAsia="仿宋_GB2312"/>
                <w:sz w:val="22"/>
              </w:rPr>
              <w:t>2.劳动关系管理要求</w:t>
            </w:r>
          </w:p>
          <w:p>
            <w:pPr>
              <w:pStyle w:val="null3"/>
              <w:ind w:firstLine="440"/>
              <w:jc w:val="both"/>
            </w:pPr>
            <w:r>
              <w:rPr>
                <w:rFonts w:ascii="仿宋_GB2312" w:hAnsi="仿宋_GB2312" w:cs="仿宋_GB2312" w:eastAsia="仿宋_GB2312"/>
                <w:sz w:val="22"/>
              </w:rPr>
              <w:t>供应商应根据国家法律法规相关要求，及时与派遣员工建立劳动关系。此外，供应商需委派专业项目管理团队，协调采购人与派遣员工之间的关系，负责派遣员工的日常管理，协助处理劳动争议与其他务工事项。</w:t>
            </w:r>
          </w:p>
          <w:p>
            <w:pPr>
              <w:pStyle w:val="null3"/>
              <w:ind w:firstLine="440"/>
              <w:jc w:val="both"/>
            </w:pPr>
            <w:r>
              <w:rPr>
                <w:rFonts w:ascii="仿宋_GB2312" w:hAnsi="仿宋_GB2312" w:cs="仿宋_GB2312" w:eastAsia="仿宋_GB2312"/>
                <w:sz w:val="22"/>
              </w:rPr>
              <w:t>3.办理社会保险要求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1）供应商应依法按时足额发放派遣员工劳务报酬、缴纳各项社会保险费</w:t>
            </w:r>
            <w:r>
              <w:rPr>
                <w:rFonts w:ascii="仿宋_GB2312" w:hAnsi="仿宋_GB2312" w:cs="仿宋_GB2312" w:eastAsia="仿宋_GB2312"/>
                <w:sz w:val="22"/>
              </w:rPr>
              <w:t>（</w:t>
            </w:r>
            <w:r>
              <w:rPr>
                <w:rFonts w:ascii="仿宋_GB2312" w:hAnsi="仿宋_GB2312" w:cs="仿宋_GB2312" w:eastAsia="仿宋_GB2312"/>
                <w:sz w:val="22"/>
              </w:rPr>
              <w:t>职工养老保险、医疗保险、工伤保险、失业保险、生育保险</w:t>
            </w:r>
            <w:r>
              <w:rPr>
                <w:rFonts w:ascii="仿宋_GB2312" w:hAnsi="仿宋_GB2312" w:cs="仿宋_GB2312" w:eastAsia="仿宋_GB2312"/>
                <w:sz w:val="22"/>
              </w:rPr>
              <w:t>）</w:t>
            </w:r>
            <w:r>
              <w:rPr>
                <w:rFonts w:ascii="仿宋_GB2312" w:hAnsi="仿宋_GB2312" w:cs="仿宋_GB2312" w:eastAsia="仿宋_GB2312"/>
                <w:sz w:val="22"/>
              </w:rPr>
              <w:t>，并根据派遣员工工资收入，申报社会保险缴费基数，代扣代缴应由员工个人缴纳的社会保险费、个人所得税和依法应予代扣代缴的其他费用后，以银行工资卡的方式，按规定时间发放员工的工资。</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2）派遣员工派遣期届满后，社会保险关系的转移等手续由供应商办理。</w:t>
            </w:r>
          </w:p>
          <w:p>
            <w:pPr>
              <w:pStyle w:val="null3"/>
              <w:ind w:firstLine="440"/>
              <w:jc w:val="both"/>
            </w:pPr>
            <w:r>
              <w:rPr>
                <w:rFonts w:ascii="仿宋_GB2312" w:hAnsi="仿宋_GB2312" w:cs="仿宋_GB2312" w:eastAsia="仿宋_GB2312"/>
                <w:sz w:val="22"/>
              </w:rPr>
              <w:t>4.薪酬发放要求</w:t>
            </w:r>
          </w:p>
          <w:p>
            <w:pPr>
              <w:pStyle w:val="null3"/>
              <w:ind w:firstLine="440"/>
              <w:jc w:val="both"/>
            </w:pPr>
            <w:r>
              <w:rPr>
                <w:rFonts w:ascii="仿宋_GB2312" w:hAnsi="仿宋_GB2312" w:cs="仿宋_GB2312" w:eastAsia="仿宋_GB2312"/>
                <w:sz w:val="22"/>
              </w:rPr>
              <w:t>工资核算及发放：供应商根据采购人核定的薪酬标准，在采购人指定的日期前向派遣员工核算并足额发放当月工资，向采购人提供薪酬发放明细，且开具对应发票；</w:t>
            </w:r>
          </w:p>
          <w:p>
            <w:pPr>
              <w:pStyle w:val="null3"/>
              <w:ind w:firstLine="440"/>
              <w:jc w:val="both"/>
            </w:pPr>
            <w:r>
              <w:rPr>
                <w:rFonts w:ascii="仿宋_GB2312" w:hAnsi="仿宋_GB2312" w:cs="仿宋_GB2312" w:eastAsia="仿宋_GB2312"/>
                <w:sz w:val="22"/>
              </w:rPr>
              <w:t>5.人事资料管理要求</w:t>
            </w:r>
          </w:p>
          <w:p>
            <w:pPr>
              <w:pStyle w:val="null3"/>
              <w:ind w:firstLine="440"/>
              <w:jc w:val="both"/>
            </w:pPr>
            <w:r>
              <w:rPr>
                <w:rFonts w:ascii="仿宋_GB2312" w:hAnsi="仿宋_GB2312" w:cs="仿宋_GB2312" w:eastAsia="仿宋_GB2312"/>
                <w:sz w:val="22"/>
              </w:rPr>
              <w:t>供应商应根据行业规定做好派遣人员的人事资料管理，并根据采购人或派遣员工需要及时提供。</w:t>
            </w:r>
          </w:p>
          <w:p>
            <w:pPr>
              <w:pStyle w:val="null3"/>
              <w:ind w:firstLine="440"/>
              <w:jc w:val="both"/>
            </w:pPr>
            <w:r>
              <w:rPr>
                <w:rFonts w:ascii="仿宋_GB2312" w:hAnsi="仿宋_GB2312" w:cs="仿宋_GB2312" w:eastAsia="仿宋_GB2312"/>
                <w:sz w:val="22"/>
              </w:rPr>
              <w:t>6.入离职管理要求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1）供应商应做好派遣人员的入离职率统计，针对派遣员工的实际入离职数据，提供分析报告。定期向采购人提供分析报告。</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派遣员工因故发生变更时，供应商须提前2周书面告知采购人，经采购人同意后方可变更，如遇派遣离职情况，供应商应在离职之日起三个工作日内向采购人出具该人员离职证明文件，且供应商须在该人员离职前2周内补充合格人员并做好相关工作交接。</w:t>
            </w:r>
          </w:p>
          <w:p>
            <w:pPr>
              <w:pStyle w:val="null3"/>
              <w:ind w:firstLine="440"/>
              <w:jc w:val="both"/>
            </w:pPr>
            <w:r>
              <w:rPr>
                <w:rFonts w:ascii="仿宋_GB2312" w:hAnsi="仿宋_GB2312" w:cs="仿宋_GB2312" w:eastAsia="仿宋_GB2312"/>
                <w:sz w:val="22"/>
                <w:b/>
              </w:rPr>
              <w:t>（二）岗位人员数量及</w:t>
            </w:r>
            <w:r>
              <w:rPr>
                <w:rFonts w:ascii="仿宋_GB2312" w:hAnsi="仿宋_GB2312" w:cs="仿宋_GB2312" w:eastAsia="仿宋_GB2312"/>
                <w:sz w:val="22"/>
                <w:b/>
              </w:rPr>
              <w:t>工作内容</w:t>
            </w:r>
          </w:p>
          <w:p>
            <w:pPr>
              <w:pStyle w:val="null3"/>
              <w:ind w:firstLine="440"/>
              <w:jc w:val="both"/>
            </w:pPr>
            <w:r>
              <w:rPr>
                <w:rFonts w:ascii="仿宋_GB2312" w:hAnsi="仿宋_GB2312" w:cs="仿宋_GB2312" w:eastAsia="仿宋_GB2312"/>
                <w:sz w:val="22"/>
              </w:rPr>
              <w:t>1、人员数量：</w:t>
            </w:r>
            <w:r>
              <w:rPr>
                <w:rFonts w:ascii="仿宋_GB2312" w:hAnsi="仿宋_GB2312" w:cs="仿宋_GB2312" w:eastAsia="仿宋_GB2312"/>
                <w:sz w:val="22"/>
              </w:rPr>
              <w:t>≤</w:t>
            </w:r>
            <w:r>
              <w:rPr>
                <w:rFonts w:ascii="仿宋_GB2312" w:hAnsi="仿宋_GB2312" w:cs="仿宋_GB2312" w:eastAsia="仿宋_GB2312"/>
                <w:sz w:val="22"/>
              </w:rPr>
              <w:t>18人</w:t>
            </w:r>
          </w:p>
          <w:p>
            <w:pPr>
              <w:pStyle w:val="null3"/>
              <w:ind w:firstLine="440"/>
              <w:jc w:val="both"/>
            </w:pPr>
            <w:r>
              <w:rPr>
                <w:rFonts w:ascii="仿宋_GB2312" w:hAnsi="仿宋_GB2312" w:cs="仿宋_GB2312" w:eastAsia="仿宋_GB2312"/>
                <w:sz w:val="22"/>
              </w:rPr>
              <w:t>2、工作内容</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1）科技创新的监督与协助工作；</w:t>
            </w:r>
          </w:p>
          <w:p>
            <w:pPr>
              <w:pStyle w:val="null3"/>
              <w:ind w:firstLine="440"/>
              <w:jc w:val="left"/>
            </w:pPr>
            <w:r>
              <w:rPr>
                <w:rFonts w:ascii="仿宋_GB2312" w:hAnsi="仿宋_GB2312" w:cs="仿宋_GB2312" w:eastAsia="仿宋_GB2312"/>
                <w:sz w:val="22"/>
              </w:rPr>
              <w:t>协助开展科技创新相关工作的监督、推进与落实，配合梳理辖区内科技创新政策落实情况，收集企业科技创新相关信息、数据，协助做好科技创新项目的申报、备案、跟踪等辅助工作；协助监督企业科技创新相关工作开展情况，及时反馈工作中发现的问题，整理相关工作台账、报表及资料，保障科技创新相关工作规范有序推进。</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负责治污减霾、</w:t>
            </w:r>
            <w:r>
              <w:rPr>
                <w:rFonts w:ascii="仿宋_GB2312" w:hAnsi="仿宋_GB2312" w:cs="仿宋_GB2312" w:eastAsia="仿宋_GB2312"/>
                <w:sz w:val="22"/>
              </w:rPr>
              <w:t>“散乱污”综合管理协助工作；</w:t>
            </w:r>
          </w:p>
          <w:p>
            <w:pPr>
              <w:pStyle w:val="null3"/>
              <w:ind w:firstLine="440"/>
              <w:jc w:val="left"/>
            </w:pPr>
            <w:r>
              <w:rPr>
                <w:rFonts w:ascii="仿宋_GB2312" w:hAnsi="仿宋_GB2312" w:cs="仿宋_GB2312" w:eastAsia="仿宋_GB2312"/>
                <w:sz w:val="22"/>
              </w:rPr>
              <w:t>配合开展治污减霾相关辅助工作，协助排查辖区内工业企业治污减霾措施落实情况，收集、整理治污减霾相关数据、资料，协助做好治污减霾政策宣传、工作部署的辅助落实；重点协助开展</w:t>
            </w:r>
            <w:r>
              <w:rPr>
                <w:rFonts w:ascii="仿宋_GB2312" w:hAnsi="仿宋_GB2312" w:cs="仿宋_GB2312" w:eastAsia="仿宋_GB2312"/>
                <w:sz w:val="22"/>
              </w:rPr>
              <w:t>“散乱污”企业综合管理工作，参与“散乱污”企业排查、登记、整治等工作，整理相关整治台账、报表，协助跟踪整治进度，反馈整治过程中的相关问题，推动“散乱污”企业整治工作落地见效。</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）工业企业服务相关工作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协助开展工业企业服务工作，对接辖区内工业企业，收集企业生产经营、发展需求等相关信息，协助整理企业诉求并反馈相关部门；协助开展工业企业调研、走访工作，整理调研资料、形成调研简报；协助落实工业企业相关扶持政策，协助企业办理相关手续、申报相关扶持项目，为工业企业发展提供基础性服务支撑，助力辖区工业经济高质量发展。</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）协助做好环境保护等工作；</w:t>
            </w:r>
          </w:p>
          <w:p>
            <w:pPr>
              <w:pStyle w:val="null3"/>
              <w:ind w:firstLine="440"/>
              <w:jc w:val="left"/>
            </w:pPr>
            <w:r>
              <w:rPr>
                <w:rFonts w:ascii="仿宋_GB2312" w:hAnsi="仿宋_GB2312" w:cs="仿宋_GB2312" w:eastAsia="仿宋_GB2312"/>
                <w:sz w:val="22"/>
              </w:rPr>
              <w:t>配合做好辖区内工业领域环境保护相关辅助工作，协助排查工业企业环境保护措施落实情况，协助收集、整理环境保护相关数据、报表及资料；协助开展环境保护政策宣传、科普工作，提高企业环保意识；协助跟踪企业环保整改情况，反馈整改过程中的问题，协助做好环保相关专项工作的筹备、落实与总结，配合完成上级部门部署的各类环保相关辅助任务。</w:t>
            </w:r>
          </w:p>
          <w:p>
            <w:pPr>
              <w:pStyle w:val="null3"/>
              <w:ind w:firstLine="402"/>
              <w:jc w:val="left"/>
            </w:pPr>
            <w:r>
              <w:rPr>
                <w:rFonts w:ascii="仿宋_GB2312" w:hAnsi="仿宋_GB2312" w:cs="仿宋_GB2312" w:eastAsia="仿宋_GB2312"/>
                <w:sz w:val="22"/>
                <w:b/>
              </w:rPr>
              <w:t>（三）服务</w:t>
            </w:r>
            <w:r>
              <w:rPr>
                <w:rFonts w:ascii="仿宋_GB2312" w:hAnsi="仿宋_GB2312" w:cs="仿宋_GB2312" w:eastAsia="仿宋_GB2312"/>
                <w:sz w:val="22"/>
                <w:b/>
              </w:rPr>
              <w:t>人员要求</w:t>
            </w:r>
          </w:p>
          <w:p>
            <w:pPr>
              <w:pStyle w:val="null3"/>
              <w:ind w:firstLine="440"/>
              <w:jc w:val="both"/>
            </w:pPr>
            <w:r>
              <w:rPr>
                <w:rFonts w:ascii="仿宋_GB2312" w:hAnsi="仿宋_GB2312" w:cs="仿宋_GB2312" w:eastAsia="仿宋_GB2312"/>
                <w:sz w:val="22"/>
              </w:rPr>
              <w:t>1、具有良好的思想品德素养，工作认真负责，积极上进，大学专科及以上学历，具有一定的文字功底能力。</w:t>
            </w:r>
          </w:p>
          <w:p>
            <w:pPr>
              <w:pStyle w:val="null3"/>
              <w:ind w:firstLine="440"/>
              <w:jc w:val="both"/>
            </w:pPr>
            <w:r>
              <w:rPr>
                <w:rFonts w:ascii="仿宋_GB2312" w:hAnsi="仿宋_GB2312" w:cs="仿宋_GB2312" w:eastAsia="仿宋_GB2312"/>
                <w:sz w:val="22"/>
              </w:rPr>
              <w:t>2、计算机操作熟练，office等办公软件使用熟练。</w:t>
            </w:r>
          </w:p>
          <w:p>
            <w:pPr>
              <w:pStyle w:val="null3"/>
              <w:ind w:firstLine="440"/>
              <w:jc w:val="both"/>
            </w:pPr>
            <w:r>
              <w:rPr>
                <w:rFonts w:ascii="仿宋_GB2312" w:hAnsi="仿宋_GB2312" w:cs="仿宋_GB2312" w:eastAsia="仿宋_GB2312"/>
                <w:sz w:val="22"/>
              </w:rPr>
              <w:t>3、机关工作一年以上优先;行政管理及安全生产等相关专业优先；年龄在20-40岁之间。</w:t>
            </w:r>
          </w:p>
          <w:p>
            <w:pPr>
              <w:pStyle w:val="null3"/>
              <w:ind w:firstLine="440"/>
              <w:jc w:val="both"/>
            </w:pPr>
            <w:r>
              <w:rPr>
                <w:rFonts w:ascii="仿宋_GB2312" w:hAnsi="仿宋_GB2312" w:cs="仿宋_GB2312" w:eastAsia="仿宋_GB2312"/>
                <w:sz w:val="22"/>
              </w:rPr>
              <w:t>4、爱岗敬业，工作责任心强。</w:t>
            </w:r>
          </w:p>
          <w:p>
            <w:pPr>
              <w:pStyle w:val="null3"/>
              <w:ind w:left="405"/>
              <w:jc w:val="both"/>
            </w:pPr>
            <w:r>
              <w:rPr>
                <w:rFonts w:ascii="仿宋_GB2312" w:hAnsi="仿宋_GB2312" w:cs="仿宋_GB2312" w:eastAsia="仿宋_GB2312"/>
                <w:sz w:val="22"/>
                <w:b/>
              </w:rPr>
              <w:t>（四）其他要求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劳动纠纷问题的现场处理</w:t>
            </w:r>
            <w:r>
              <w:rPr>
                <w:rFonts w:ascii="仿宋_GB2312" w:hAnsi="仿宋_GB2312" w:cs="仿宋_GB2312" w:eastAsia="仿宋_GB2312"/>
                <w:sz w:val="22"/>
              </w:rPr>
              <w:t>:供应商负责快速、及时处理员工与采购人的劳动争议，包括协助仲裁，法律咨询等，不给采购人造成负面影响。</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工伤</w:t>
            </w:r>
            <w:r>
              <w:rPr>
                <w:rFonts w:ascii="仿宋_GB2312" w:hAnsi="仿宋_GB2312" w:cs="仿宋_GB2312" w:eastAsia="仿宋_GB2312"/>
                <w:sz w:val="22"/>
              </w:rPr>
              <w:t>/工亡及突发意外事件处理：供应商快速、及时处理派遣人员工伤/工亡及突发意外等相关事故，不给采购人造成负面影响。</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派遣员工行为若违反法律等，并给采购人造成经济损失的，供应商应积极主动配合采购人及公检法部门的工作办理相关事宜；</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派遣员工在履行合同期间发生因工人身伤亡事故时，</w:t>
            </w:r>
            <w:r>
              <w:rPr>
                <w:rFonts w:ascii="仿宋_GB2312" w:hAnsi="仿宋_GB2312" w:cs="仿宋_GB2312" w:eastAsia="仿宋_GB2312"/>
                <w:sz w:val="22"/>
              </w:rPr>
              <w:t>由供应商统计、上报、申请理赔。供应商申报完成后，供应商应依法及时足额支付给员工及其家属；</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派遣员工非因工死亡时，社会保险应支付给派遣员工的费用由供应商负责按照社会保险机构的规定申领并依法支付给派遣员工家属；</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用工期间若派遣员工出现违反采购人相关规定的，在接到采购人通知及证明材料后应第一时间作出相应处罚，情节严重的应予以解聘。</w:t>
            </w:r>
          </w:p>
          <w:p>
            <w:pPr>
              <w:pStyle w:val="null3"/>
              <w:jc w:val="both"/>
            </w:pPr>
            <w:r>
              <w:rPr>
                <w:rFonts w:ascii="仿宋_GB2312" w:hAnsi="仿宋_GB2312" w:cs="仿宋_GB2312" w:eastAsia="仿宋_GB2312"/>
                <w:sz w:val="22"/>
                <w:b/>
              </w:rPr>
              <w:t>三、其他</w:t>
            </w:r>
          </w:p>
          <w:p>
            <w:pPr>
              <w:pStyle w:val="null3"/>
              <w:ind w:firstLine="440"/>
              <w:jc w:val="both"/>
            </w:pPr>
            <w:r>
              <w:rPr>
                <w:rFonts w:ascii="仿宋_GB2312" w:hAnsi="仿宋_GB2312" w:cs="仿宋_GB2312" w:eastAsia="仿宋_GB2312"/>
                <w:sz w:val="22"/>
              </w:rPr>
              <w:t>1、中标后供应商需提供拟派人员资料：《户口簿》、《身份证》、《毕业证》、《无犯罪记录证明》。</w:t>
            </w:r>
          </w:p>
          <w:p>
            <w:pPr>
              <w:pStyle w:val="null3"/>
              <w:ind w:firstLine="440"/>
              <w:jc w:val="both"/>
            </w:pPr>
            <w:r>
              <w:rPr>
                <w:rFonts w:ascii="仿宋_GB2312" w:hAnsi="仿宋_GB2312" w:cs="仿宋_GB2312" w:eastAsia="仿宋_GB2312"/>
                <w:sz w:val="22"/>
              </w:rPr>
              <w:t>2、供应商须遵守国家及地方相关法律法规，遵守采购方的各项规章制度，不得泄露在服务过程中知悉的采购方工作秘密等敏感信息。</w:t>
            </w:r>
          </w:p>
          <w:p>
            <w:pPr>
              <w:pStyle w:val="null3"/>
              <w:ind w:firstLine="440"/>
              <w:jc w:val="both"/>
            </w:pPr>
            <w:r>
              <w:rPr>
                <w:rFonts w:ascii="仿宋_GB2312" w:hAnsi="仿宋_GB2312" w:cs="仿宋_GB2312" w:eastAsia="仿宋_GB2312"/>
                <w:sz w:val="22"/>
              </w:rPr>
              <w:t>3、供应商需按照按照《中华人民共和国劳动法》、《中华人民共和国劳动合同法》及国家、地方有关法律法规规定严格执行本项目。</w:t>
            </w:r>
          </w:p>
          <w:p>
            <w:pPr>
              <w:pStyle w:val="null3"/>
              <w:ind w:firstLine="440"/>
              <w:jc w:val="both"/>
            </w:pPr>
            <w:r>
              <w:rPr>
                <w:rFonts w:ascii="仿宋_GB2312" w:hAnsi="仿宋_GB2312" w:cs="仿宋_GB2312" w:eastAsia="仿宋_GB2312"/>
                <w:sz w:val="22"/>
              </w:rPr>
              <w:t>4、人员考核方案</w:t>
            </w:r>
          </w:p>
          <w:p>
            <w:pPr>
              <w:pStyle w:val="null3"/>
              <w:ind w:firstLine="400"/>
              <w:jc w:val="left"/>
            </w:pPr>
            <w:r>
              <w:rPr>
                <w:rFonts w:ascii="仿宋_GB2312" w:hAnsi="仿宋_GB2312" w:cs="仿宋_GB2312" w:eastAsia="仿宋_GB2312"/>
                <w:sz w:val="22"/>
              </w:rPr>
              <w:t>服务商所提供服务必须执行下列条款：</w:t>
            </w:r>
          </w:p>
          <w:p>
            <w:pPr>
              <w:pStyle w:val="null3"/>
              <w:ind w:firstLine="40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服务方案和方式科学、可行，人员配置合理，全面满足要求。</w:t>
            </w:r>
          </w:p>
          <w:p>
            <w:pPr>
              <w:pStyle w:val="null3"/>
              <w:ind w:firstLine="40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符合国家有关规范要求，确保各项工作达到最佳运行效果。</w:t>
            </w:r>
          </w:p>
          <w:p>
            <w:pPr>
              <w:pStyle w:val="null3"/>
              <w:ind w:firstLine="40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供应商</w:t>
            </w:r>
            <w:r>
              <w:rPr>
                <w:rFonts w:ascii="仿宋_GB2312" w:hAnsi="仿宋_GB2312" w:cs="仿宋_GB2312" w:eastAsia="仿宋_GB2312"/>
                <w:sz w:val="22"/>
              </w:rPr>
              <w:t>提供的服务，若发生侵权而产生的一切后果，由</w:t>
            </w:r>
            <w:r>
              <w:rPr>
                <w:rFonts w:ascii="仿宋_GB2312" w:hAnsi="仿宋_GB2312" w:cs="仿宋_GB2312" w:eastAsia="仿宋_GB2312"/>
                <w:sz w:val="22"/>
              </w:rPr>
              <w:t>供应商</w:t>
            </w:r>
            <w:r>
              <w:rPr>
                <w:rFonts w:ascii="仿宋_GB2312" w:hAnsi="仿宋_GB2312" w:cs="仿宋_GB2312" w:eastAsia="仿宋_GB2312"/>
                <w:sz w:val="22"/>
              </w:rPr>
              <w:t>负责。</w:t>
            </w:r>
            <w:r>
              <w:rPr>
                <w:rFonts w:ascii="仿宋_GB2312" w:hAnsi="仿宋_GB2312" w:cs="仿宋_GB2312" w:eastAsia="仿宋_GB2312"/>
                <w:sz w:val="22"/>
              </w:rPr>
              <w:t>采购</w:t>
            </w:r>
            <w:r>
              <w:rPr>
                <w:rFonts w:ascii="仿宋_GB2312" w:hAnsi="仿宋_GB2312" w:cs="仿宋_GB2312" w:eastAsia="仿宋_GB2312"/>
                <w:sz w:val="22"/>
              </w:rPr>
              <w:t>人保留索赔</w:t>
            </w:r>
            <w:r>
              <w:rPr>
                <w:rFonts w:ascii="仿宋_GB2312" w:hAnsi="仿宋_GB2312" w:cs="仿宋_GB2312" w:eastAsia="仿宋_GB2312"/>
                <w:sz w:val="22"/>
              </w:rPr>
              <w:t>权利</w:t>
            </w:r>
            <w:r>
              <w:rPr>
                <w:rFonts w:ascii="仿宋_GB2312" w:hAnsi="仿宋_GB2312" w:cs="仿宋_GB2312" w:eastAsia="仿宋_GB2312"/>
                <w:sz w:val="22"/>
              </w:rPr>
              <w:t>。</w:t>
            </w:r>
          </w:p>
          <w:p>
            <w:pPr>
              <w:pStyle w:val="null3"/>
              <w:ind w:firstLine="40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为保证本合同的履行，每月采购人进行综合考核，综合考核得分与</w:t>
            </w:r>
            <w:r>
              <w:rPr>
                <w:rFonts w:ascii="仿宋_GB2312" w:hAnsi="仿宋_GB2312" w:cs="仿宋_GB2312" w:eastAsia="仿宋_GB2312"/>
                <w:sz w:val="22"/>
              </w:rPr>
              <w:t>供应商</w:t>
            </w:r>
            <w:r>
              <w:rPr>
                <w:rFonts w:ascii="仿宋_GB2312" w:hAnsi="仿宋_GB2312" w:cs="仿宋_GB2312" w:eastAsia="仿宋_GB2312"/>
                <w:sz w:val="22"/>
              </w:rPr>
              <w:t>所获得的服务费挂钩，具体做法是：</w:t>
            </w:r>
          </w:p>
          <w:p>
            <w:pPr>
              <w:pStyle w:val="null3"/>
              <w:ind w:firstLine="400"/>
              <w:jc w:val="left"/>
            </w:pPr>
            <w:r>
              <w:rPr>
                <w:rFonts w:ascii="仿宋_GB2312" w:hAnsi="仿宋_GB2312" w:cs="仿宋_GB2312" w:eastAsia="仿宋_GB2312"/>
                <w:sz w:val="22"/>
              </w:rPr>
              <w:t>1）</w:t>
            </w:r>
            <w:r>
              <w:rPr>
                <w:rFonts w:ascii="仿宋_GB2312" w:hAnsi="仿宋_GB2312" w:cs="仿宋_GB2312" w:eastAsia="仿宋_GB2312"/>
                <w:sz w:val="22"/>
              </w:rPr>
              <w:t>综合得分在</w:t>
            </w:r>
            <w:r>
              <w:rPr>
                <w:rFonts w:ascii="仿宋_GB2312" w:hAnsi="仿宋_GB2312" w:cs="仿宋_GB2312" w:eastAsia="仿宋_GB2312"/>
                <w:sz w:val="22"/>
              </w:rPr>
              <w:t>90分以上的（含90分），全额拨付当期其应得的管理服务费；</w:t>
            </w:r>
          </w:p>
          <w:p>
            <w:pPr>
              <w:pStyle w:val="null3"/>
              <w:ind w:firstLine="400"/>
              <w:jc w:val="left"/>
            </w:pPr>
            <w:r>
              <w:rPr>
                <w:rFonts w:ascii="仿宋_GB2312" w:hAnsi="仿宋_GB2312" w:cs="仿宋_GB2312" w:eastAsia="仿宋_GB2312"/>
                <w:sz w:val="22"/>
              </w:rPr>
              <w:t>2）</w:t>
            </w:r>
            <w:r>
              <w:rPr>
                <w:rFonts w:ascii="仿宋_GB2312" w:hAnsi="仿宋_GB2312" w:cs="仿宋_GB2312" w:eastAsia="仿宋_GB2312"/>
                <w:sz w:val="22"/>
              </w:rPr>
              <w:t>综合得分在</w:t>
            </w:r>
            <w:r>
              <w:rPr>
                <w:rFonts w:ascii="仿宋_GB2312" w:hAnsi="仿宋_GB2312" w:cs="仿宋_GB2312" w:eastAsia="仿宋_GB2312"/>
                <w:sz w:val="22"/>
              </w:rPr>
              <w:t>90分以下的，每少一分，则当期服务费扣减1%，即</w:t>
            </w:r>
            <w:r>
              <w:rPr>
                <w:rFonts w:ascii="仿宋_GB2312" w:hAnsi="仿宋_GB2312" w:cs="仿宋_GB2312" w:eastAsia="仿宋_GB2312"/>
                <w:sz w:val="22"/>
              </w:rPr>
              <w:t>采购</w:t>
            </w:r>
            <w:r>
              <w:rPr>
                <w:rFonts w:ascii="仿宋_GB2312" w:hAnsi="仿宋_GB2312" w:cs="仿宋_GB2312" w:eastAsia="仿宋_GB2312"/>
                <w:sz w:val="22"/>
              </w:rPr>
              <w:t>人据其考核得分计算；</w:t>
            </w:r>
          </w:p>
          <w:p>
            <w:pPr>
              <w:pStyle w:val="null3"/>
              <w:ind w:firstLine="400"/>
              <w:jc w:val="left"/>
            </w:pPr>
            <w:r>
              <w:rPr>
                <w:rFonts w:ascii="仿宋_GB2312" w:hAnsi="仿宋_GB2312" w:cs="仿宋_GB2312" w:eastAsia="仿宋_GB2312"/>
                <w:sz w:val="22"/>
              </w:rPr>
              <w:t>3）扣减当期服务费后，将扣减后的服务费核拨服务商。</w:t>
            </w:r>
          </w:p>
          <w:p>
            <w:pPr>
              <w:pStyle w:val="null3"/>
              <w:ind w:firstLine="400"/>
              <w:jc w:val="left"/>
            </w:pPr>
            <w:r>
              <w:rPr>
                <w:rFonts w:ascii="仿宋_GB2312" w:hAnsi="仿宋_GB2312" w:cs="仿宋_GB2312" w:eastAsia="仿宋_GB2312"/>
                <w:sz w:val="22"/>
              </w:rPr>
              <w:t>4）供应商</w:t>
            </w:r>
            <w:r>
              <w:rPr>
                <w:rFonts w:ascii="仿宋_GB2312" w:hAnsi="仿宋_GB2312" w:cs="仿宋_GB2312" w:eastAsia="仿宋_GB2312"/>
                <w:sz w:val="22"/>
              </w:rPr>
              <w:t>参加由</w:t>
            </w:r>
            <w:r>
              <w:rPr>
                <w:rFonts w:ascii="仿宋_GB2312" w:hAnsi="仿宋_GB2312" w:cs="仿宋_GB2312" w:eastAsia="仿宋_GB2312"/>
                <w:sz w:val="22"/>
              </w:rPr>
              <w:t>采购</w:t>
            </w:r>
            <w:r>
              <w:rPr>
                <w:rFonts w:ascii="仿宋_GB2312" w:hAnsi="仿宋_GB2312" w:cs="仿宋_GB2312" w:eastAsia="仿宋_GB2312"/>
                <w:sz w:val="22"/>
              </w:rPr>
              <w:t>人</w:t>
            </w:r>
            <w:r>
              <w:rPr>
                <w:rFonts w:ascii="仿宋_GB2312" w:hAnsi="仿宋_GB2312" w:cs="仿宋_GB2312" w:eastAsia="仿宋_GB2312"/>
                <w:sz w:val="22"/>
              </w:rPr>
              <w:t>组织的管理服务考核，连续两次综合得分低于</w:t>
            </w:r>
            <w:r>
              <w:rPr>
                <w:rFonts w:ascii="仿宋_GB2312" w:hAnsi="仿宋_GB2312" w:cs="仿宋_GB2312" w:eastAsia="仿宋_GB2312"/>
                <w:sz w:val="22"/>
              </w:rPr>
              <w:t>80分的，须退出本项目管理服务，同时</w:t>
            </w:r>
            <w:r>
              <w:rPr>
                <w:rFonts w:ascii="仿宋_GB2312" w:hAnsi="仿宋_GB2312" w:cs="仿宋_GB2312" w:eastAsia="仿宋_GB2312"/>
                <w:sz w:val="22"/>
              </w:rPr>
              <w:t>采购</w:t>
            </w:r>
            <w:r>
              <w:rPr>
                <w:rFonts w:ascii="仿宋_GB2312" w:hAnsi="仿宋_GB2312" w:cs="仿宋_GB2312" w:eastAsia="仿宋_GB2312"/>
                <w:sz w:val="22"/>
              </w:rPr>
              <w:t>人</w:t>
            </w:r>
            <w:r>
              <w:rPr>
                <w:rFonts w:ascii="仿宋_GB2312" w:hAnsi="仿宋_GB2312" w:cs="仿宋_GB2312" w:eastAsia="仿宋_GB2312"/>
                <w:sz w:val="22"/>
              </w:rPr>
              <w:t>有权终止合同。</w:t>
            </w:r>
          </w:p>
          <w:p>
            <w:pPr>
              <w:pStyle w:val="null3"/>
              <w:ind w:firstLine="400"/>
              <w:jc w:val="left"/>
            </w:pPr>
            <w:r>
              <w:rPr>
                <w:rFonts w:ascii="仿宋_GB2312" w:hAnsi="仿宋_GB2312" w:cs="仿宋_GB2312" w:eastAsia="仿宋_GB2312"/>
                <w:sz w:val="22"/>
              </w:rPr>
              <w:t>5）由此造成</w:t>
            </w:r>
            <w:r>
              <w:rPr>
                <w:rFonts w:ascii="仿宋_GB2312" w:hAnsi="仿宋_GB2312" w:cs="仿宋_GB2312" w:eastAsia="仿宋_GB2312"/>
                <w:sz w:val="22"/>
              </w:rPr>
              <w:t>采购</w:t>
            </w:r>
            <w:r>
              <w:rPr>
                <w:rFonts w:ascii="仿宋_GB2312" w:hAnsi="仿宋_GB2312" w:cs="仿宋_GB2312" w:eastAsia="仿宋_GB2312"/>
                <w:sz w:val="22"/>
              </w:rPr>
              <w:t>人经济损失的，</w:t>
            </w:r>
            <w:r>
              <w:rPr>
                <w:rFonts w:ascii="仿宋_GB2312" w:hAnsi="仿宋_GB2312" w:cs="仿宋_GB2312" w:eastAsia="仿宋_GB2312"/>
                <w:sz w:val="22"/>
              </w:rPr>
              <w:t>供应</w:t>
            </w:r>
            <w:r>
              <w:rPr>
                <w:rFonts w:ascii="仿宋_GB2312" w:hAnsi="仿宋_GB2312" w:cs="仿宋_GB2312" w:eastAsia="仿宋_GB2312"/>
                <w:sz w:val="22"/>
              </w:rPr>
              <w:t>商应给予</w:t>
            </w:r>
            <w:r>
              <w:rPr>
                <w:rFonts w:ascii="仿宋_GB2312" w:hAnsi="仿宋_GB2312" w:cs="仿宋_GB2312" w:eastAsia="仿宋_GB2312"/>
                <w:sz w:val="22"/>
              </w:rPr>
              <w:t>采购</w:t>
            </w:r>
            <w:r>
              <w:rPr>
                <w:rFonts w:ascii="仿宋_GB2312" w:hAnsi="仿宋_GB2312" w:cs="仿宋_GB2312" w:eastAsia="仿宋_GB2312"/>
                <w:sz w:val="22"/>
              </w:rPr>
              <w:t>人经济赔偿。</w:t>
            </w:r>
          </w:p>
          <w:p>
            <w:pPr>
              <w:pStyle w:val="null3"/>
              <w:jc w:val="both"/>
            </w:pPr>
            <w:r>
              <w:rPr>
                <w:rFonts w:ascii="仿宋_GB2312" w:hAnsi="仿宋_GB2312" w:cs="仿宋_GB2312" w:eastAsia="仿宋_GB2312"/>
                <w:sz w:val="22"/>
                <w:b/>
              </w:rPr>
              <w:t>考核标准参考如下：</w:t>
            </w:r>
          </w:p>
          <w:tbl>
            <w:tblPr>
              <w:tblBorders>
                <w:top w:val="none" w:color="000000" w:sz="4"/>
                <w:left w:val="none" w:color="000000" w:sz="4"/>
                <w:bottom w:val="none" w:color="000000" w:sz="4"/>
                <w:right w:val="none" w:color="000000" w:sz="4"/>
                <w:insideH w:val="none"/>
                <w:insideV w:val="none"/>
              </w:tblBorders>
            </w:tblPr>
            <w:tblGrid>
              <w:gridCol w:w="117"/>
              <w:gridCol w:w="124"/>
              <w:gridCol w:w="935"/>
              <w:gridCol w:w="665"/>
              <w:gridCol w:w="71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考核标准</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等级</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合格</w:t>
                  </w:r>
                  <w:r>
                    <w:rPr>
                      <w:rFonts w:ascii="仿宋_GB2312" w:hAnsi="仿宋_GB2312" w:cs="仿宋_GB2312" w:eastAsia="仿宋_GB2312"/>
                      <w:sz w:val="22"/>
                    </w:rPr>
                    <w:t>60分-79分</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良好</w:t>
                  </w:r>
                  <w:r>
                    <w:rPr>
                      <w:rFonts w:ascii="仿宋_GB2312" w:hAnsi="仿宋_GB2312" w:cs="仿宋_GB2312" w:eastAsia="仿宋_GB2312"/>
                      <w:sz w:val="22"/>
                    </w:rPr>
                    <w:t>80分-89分</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优秀</w:t>
                  </w:r>
                  <w:r>
                    <w:rPr>
                      <w:rFonts w:ascii="仿宋_GB2312" w:hAnsi="仿宋_GB2312" w:cs="仿宋_GB2312" w:eastAsia="仿宋_GB2312"/>
                      <w:sz w:val="22"/>
                    </w:rPr>
                    <w:t>90分以上</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知识技能</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需经过简单的培训，方具备完成其工作所需的技能</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初步具备完成其工作所需的技能</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具备完成其工作所需的一切技能</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问题解决能力</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遇到问题束手无策，没有办法解决</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发生问题能够思考解决问题的办法，但有时抓不住关键</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问题发生后能够分辨关键问题，找到解决办法并设法加以解决</w:t>
                  </w:r>
                </w:p>
              </w:tc>
            </w:tr>
            <w:tr>
              <w:tc>
                <w:tcPr>
                  <w:tcW w:type="dxa" w:w="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工作态度考核</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积极性</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对其所从事的工作经常会抱怨，积极性不高</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偶尔会抱怨其工作，但能继续坚持，积极性一般</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主动做好本职工作并积极承担部分额外的工作</w:t>
                  </w:r>
                </w:p>
              </w:tc>
            </w:tr>
            <w:tr>
              <w:tc>
                <w:tcPr>
                  <w:tcW w:type="dxa" w:w="117"/>
                  <w:vMerge/>
                  <w:tcBorders>
                    <w:top w:val="none" w:color="000000" w:sz="4"/>
                    <w:left w:val="single" w:color="000000" w:sz="4"/>
                    <w:bottom w:val="single" w:color="000000" w:sz="4"/>
                    <w:right w:val="single" w:color="000000" w:sz="4"/>
                  </w:tcBorders>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协调性</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协调性一般，能基本完成其工作</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能按要求完成其工作，与其他人员相处融洽</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能以饱满的热情投入工作，能协调好与其工作人员的关系与其工作相关的事务</w:t>
                  </w:r>
                </w:p>
              </w:tc>
            </w:tr>
            <w:tr>
              <w:tc>
                <w:tcPr>
                  <w:tcW w:type="dxa" w:w="117"/>
                  <w:vMerge/>
                  <w:tcBorders>
                    <w:top w:val="none" w:color="000000" w:sz="4"/>
                    <w:left w:val="single" w:color="000000" w:sz="4"/>
                    <w:bottom w:val="single" w:color="000000" w:sz="4"/>
                    <w:right w:val="single" w:color="000000" w:sz="4"/>
                  </w:tcBorders>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责任感</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经常对其所从事的工作不负责任</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偶尔完不成工作任务</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能主动完成其所从事的工作，为完成其工作尽职尽责</w:t>
                  </w:r>
                </w:p>
              </w:tc>
            </w:tr>
            <w:tr>
              <w:tc>
                <w:tcPr>
                  <w:tcW w:type="dxa" w:w="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行为考核</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出勤率</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经常迟到早退，一个季度累计缺勤在</w:t>
                  </w:r>
                  <w:r>
                    <w:rPr>
                      <w:rFonts w:ascii="仿宋_GB2312" w:hAnsi="仿宋_GB2312" w:cs="仿宋_GB2312" w:eastAsia="仿宋_GB2312"/>
                      <w:sz w:val="19"/>
                      <w:u w:val="single"/>
                    </w:rPr>
                    <w:t xml:space="preserve">  </w:t>
                  </w:r>
                  <w:r>
                    <w:rPr>
                      <w:rFonts w:ascii="仿宋_GB2312" w:hAnsi="仿宋_GB2312" w:cs="仿宋_GB2312" w:eastAsia="仿宋_GB2312"/>
                      <w:sz w:val="22"/>
                    </w:rPr>
                    <w:t>天以上</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偶尔迟到早退，一个季度累计缺勤在</w:t>
                  </w:r>
                  <w:r>
                    <w:rPr>
                      <w:rFonts w:ascii="仿宋_GB2312" w:hAnsi="仿宋_GB2312" w:cs="仿宋_GB2312" w:eastAsia="仿宋_GB2312"/>
                      <w:sz w:val="19"/>
                      <w:u w:val="single"/>
                    </w:rPr>
                    <w:t xml:space="preserve">  </w:t>
                  </w:r>
                  <w:r>
                    <w:rPr>
                      <w:rFonts w:ascii="仿宋_GB2312" w:hAnsi="仿宋_GB2312" w:cs="仿宋_GB2312" w:eastAsia="仿宋_GB2312"/>
                      <w:sz w:val="22"/>
                    </w:rPr>
                    <w:t>天以内</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几乎没有缺勤现象</w:t>
                  </w:r>
                </w:p>
              </w:tc>
            </w:tr>
            <w:tr>
              <w:tc>
                <w:tcPr>
                  <w:tcW w:type="dxa" w:w="117"/>
                  <w:vMerge/>
                  <w:tcBorders>
                    <w:top w:val="none" w:color="000000" w:sz="4"/>
                    <w:left w:val="single" w:color="000000" w:sz="4"/>
                    <w:bottom w:val="single" w:color="000000" w:sz="4"/>
                    <w:right w:val="single" w:color="000000" w:sz="4"/>
                  </w:tcBorders>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协作</w:t>
                  </w:r>
                </w:p>
                <w:p>
                  <w:pPr>
                    <w:pStyle w:val="null3"/>
                    <w:jc w:val="center"/>
                  </w:pPr>
                  <w:r>
                    <w:rPr>
                      <w:rFonts w:ascii="仿宋_GB2312" w:hAnsi="仿宋_GB2312" w:cs="仿宋_GB2312" w:eastAsia="仿宋_GB2312"/>
                      <w:sz w:val="22"/>
                    </w:rPr>
                    <w:t>精神</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缺乏合作精神，对他人意见不感兴趣</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维持一般合作关系，对他人意见不抗拒</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具有良好的合作精神，愿意接受他人意见</w:t>
                  </w:r>
                </w:p>
              </w:tc>
            </w:tr>
            <w:tr>
              <w:tc>
                <w:tcPr>
                  <w:tcW w:type="dxa" w:w="117"/>
                  <w:vMerge/>
                  <w:tcBorders>
                    <w:top w:val="none" w:color="000000" w:sz="4"/>
                    <w:left w:val="single" w:color="000000" w:sz="4"/>
                    <w:bottom w:val="single" w:color="000000" w:sz="4"/>
                    <w:right w:val="single" w:color="000000" w:sz="4"/>
                  </w:tcBorders>
                </w:tcP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学习</w:t>
                  </w:r>
                </w:p>
                <w:p>
                  <w:pPr>
                    <w:pStyle w:val="null3"/>
                    <w:jc w:val="center"/>
                  </w:pPr>
                  <w:r>
                    <w:rPr>
                      <w:rFonts w:ascii="仿宋_GB2312" w:hAnsi="仿宋_GB2312" w:cs="仿宋_GB2312" w:eastAsia="仿宋_GB2312"/>
                      <w:sz w:val="22"/>
                    </w:rPr>
                    <w:t>意识</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极少学习与工作有关知识</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偶尔学习与工作有关的知识</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勤奋好学，积极钻研与工作相关的知识</w:t>
                  </w:r>
                </w:p>
              </w:tc>
            </w:tr>
          </w:tbl>
          <w:p>
            <w:pPr>
              <w:pStyle w:val="null3"/>
              <w:jc w:val="both"/>
            </w:pPr>
            <w:r>
              <w:rPr>
                <w:rFonts w:ascii="仿宋_GB2312" w:hAnsi="仿宋_GB2312" w:cs="仿宋_GB2312" w:eastAsia="仿宋_GB2312"/>
                <w:sz w:val="22"/>
              </w:rPr>
              <w:t>考核等级主要是对外包人员进行综合评价的结论，分为</w:t>
            </w:r>
            <w:r>
              <w:rPr>
                <w:rFonts w:ascii="仿宋_GB2312" w:hAnsi="仿宋_GB2312" w:cs="仿宋_GB2312" w:eastAsia="仿宋_GB2312"/>
                <w:sz w:val="22"/>
              </w:rPr>
              <w:t>A优秀（优秀90分以上）、B良好（80分-89分）、C合格（60分-79分）、D不合格（59分以下）。</w:t>
            </w:r>
          </w:p>
          <w:p>
            <w:pPr>
              <w:pStyle w:val="null3"/>
              <w:jc w:val="both"/>
            </w:pPr>
            <w:r>
              <w:rPr>
                <w:rFonts w:ascii="仿宋_GB2312" w:hAnsi="仿宋_GB2312" w:cs="仿宋_GB2312" w:eastAsia="仿宋_GB2312"/>
                <w:sz w:val="22"/>
                <w:b/>
              </w:rPr>
              <w:t>（三）考核周期</w:t>
            </w:r>
          </w:p>
          <w:p>
            <w:pPr>
              <w:pStyle w:val="null3"/>
              <w:jc w:val="left"/>
            </w:pPr>
            <w:r>
              <w:rPr>
                <w:rFonts w:ascii="仿宋_GB2312" w:hAnsi="仿宋_GB2312" w:cs="仿宋_GB2312" w:eastAsia="仿宋_GB2312"/>
                <w:sz w:val="22"/>
              </w:rPr>
              <w:t>分为月度考核和年度两种，选择何种考核周期由采购人决定。具体时间安排如下表：</w:t>
            </w:r>
          </w:p>
          <w:tbl>
            <w:tblPr>
              <w:tblBorders>
                <w:top w:val="none" w:color="000000" w:sz="4"/>
                <w:left w:val="none" w:color="000000" w:sz="4"/>
                <w:bottom w:val="none" w:color="000000" w:sz="4"/>
                <w:right w:val="none" w:color="000000" w:sz="4"/>
                <w:insideH w:val="none"/>
                <w:insideV w:val="none"/>
              </w:tblBorders>
            </w:tblPr>
            <w:tblGrid>
              <w:gridCol w:w="710"/>
              <w:gridCol w:w="1055"/>
              <w:gridCol w:w="1336"/>
              <w:gridCol w:w="84"/>
            </w:tblGrid>
            <w:tr>
              <w:tc>
                <w:tcPr>
                  <w:tcW w:type="dxa" w:w="310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考核时间安排</w:t>
                  </w:r>
                </w:p>
              </w:tc>
              <w:tc>
                <w:tcPr>
                  <w:tcW w:type="dxa" w:w="8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月度考核</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次月</w:t>
                  </w:r>
                  <w:r>
                    <w:rPr>
                      <w:rFonts w:ascii="仿宋_GB2312" w:hAnsi="仿宋_GB2312" w:cs="仿宋_GB2312" w:eastAsia="仿宋_GB2312"/>
                      <w:sz w:val="22"/>
                    </w:rPr>
                    <w:t>1日-10日</w:t>
                  </w:r>
                </w:p>
              </w:tc>
              <w:tc>
                <w:tcPr>
                  <w:tcW w:type="dxa" w:w="13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在考核实施中，遇节假日考核时间顺延</w:t>
                  </w:r>
                </w:p>
              </w:tc>
              <w:tc>
                <w:tcPr>
                  <w:tcW w:type="dxa" w:w="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年度考核</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12月25日-次年1月5日</w:t>
                  </w:r>
                </w:p>
              </w:tc>
              <w:tc>
                <w:tcPr>
                  <w:tcW w:type="dxa" w:w="1336"/>
                  <w:vMerge/>
                  <w:tcBorders>
                    <w:top w:val="single" w:color="000000" w:sz="4"/>
                    <w:left w:val="none" w:color="000000" w:sz="4"/>
                    <w:bottom w:val="single" w:color="000000" w:sz="4"/>
                    <w:right w:val="single" w:color="000000" w:sz="4"/>
                  </w:tcBorders>
                </w:tcPr>
                <w:p/>
              </w:tc>
              <w:tc>
                <w:tcPr>
                  <w:tcW w:type="dxa" w:w="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2"/>
                <w:b/>
              </w:rPr>
              <w:t>（四）人员培训</w:t>
            </w:r>
          </w:p>
          <w:tbl>
            <w:tblPr>
              <w:tblInd w:type="dxa" w:w="135"/>
              <w:tblBorders>
                <w:top w:val="none" w:color="000000" w:sz="4"/>
                <w:left w:val="none" w:color="000000" w:sz="4"/>
                <w:bottom w:val="none" w:color="000000" w:sz="4"/>
                <w:right w:val="none" w:color="000000" w:sz="4"/>
                <w:insideH w:val="none"/>
                <w:insideV w:val="none"/>
              </w:tblBorders>
            </w:tblPr>
            <w:tblGrid>
              <w:gridCol w:w="401"/>
              <w:gridCol w:w="655"/>
              <w:gridCol w:w="1497"/>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阶段</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工作进度</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具体内容</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预备阶段</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培训教材准备</w:t>
                  </w:r>
                </w:p>
                <w:p>
                  <w:pPr>
                    <w:pStyle w:val="null3"/>
                    <w:jc w:val="center"/>
                  </w:pPr>
                  <w:r>
                    <w:rPr>
                      <w:rFonts w:ascii="仿宋_GB2312" w:hAnsi="仿宋_GB2312" w:cs="仿宋_GB2312" w:eastAsia="仿宋_GB2312"/>
                      <w:sz w:val="22"/>
                    </w:rPr>
                    <w:t>（入职前一天）</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制作培训教材；</w:t>
                  </w:r>
                </w:p>
                <w:p>
                  <w:pPr>
                    <w:pStyle w:val="null3"/>
                    <w:jc w:val="left"/>
                  </w:pPr>
                  <w:r>
                    <w:rPr>
                      <w:rFonts w:ascii="仿宋_GB2312" w:hAnsi="仿宋_GB2312" w:cs="仿宋_GB2312" w:eastAsia="仿宋_GB2312"/>
                      <w:sz w:val="22"/>
                    </w:rPr>
                    <w:t>2、用工单位对培训教材进行审核。</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第一阶段</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理论培训</w:t>
                  </w:r>
                  <w:r>
                    <w:rPr>
                      <w:rFonts w:ascii="仿宋_GB2312" w:hAnsi="仿宋_GB2312" w:cs="仿宋_GB2312" w:eastAsia="仿宋_GB2312"/>
                      <w:sz w:val="22"/>
                    </w:rPr>
                    <w:t xml:space="preserve">   </w:t>
                  </w:r>
                </w:p>
                <w:p>
                  <w:pPr>
                    <w:pStyle w:val="null3"/>
                    <w:jc w:val="center"/>
                  </w:pPr>
                  <w:r>
                    <w:rPr>
                      <w:rFonts w:ascii="仿宋_GB2312" w:hAnsi="仿宋_GB2312" w:cs="仿宋_GB2312" w:eastAsia="仿宋_GB2312"/>
                      <w:sz w:val="22"/>
                    </w:rPr>
                    <w:t>（入职第一周）</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部门职责、专业知识内容；</w:t>
                  </w:r>
                </w:p>
                <w:p>
                  <w:pPr>
                    <w:pStyle w:val="null3"/>
                    <w:jc w:val="left"/>
                  </w:pPr>
                  <w:r>
                    <w:rPr>
                      <w:rFonts w:ascii="仿宋_GB2312" w:hAnsi="仿宋_GB2312" w:cs="仿宋_GB2312" w:eastAsia="仿宋_GB2312"/>
                      <w:sz w:val="22"/>
                    </w:rPr>
                    <w:t>2、质量管理要求及标准；</w:t>
                  </w:r>
                </w:p>
                <w:p>
                  <w:pPr>
                    <w:pStyle w:val="null3"/>
                    <w:jc w:val="left"/>
                  </w:pPr>
                  <w:r>
                    <w:rPr>
                      <w:rFonts w:ascii="仿宋_GB2312" w:hAnsi="仿宋_GB2312" w:cs="仿宋_GB2312" w:eastAsia="仿宋_GB2312"/>
                      <w:sz w:val="22"/>
                    </w:rPr>
                    <w:t>3、压力与情绪管理、有效沟通技巧、投诉处理技巧。</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第二阶段</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专业知识培训</w:t>
                  </w:r>
                  <w:r>
                    <w:rPr>
                      <w:rFonts w:ascii="仿宋_GB2312" w:hAnsi="仿宋_GB2312" w:cs="仿宋_GB2312" w:eastAsia="仿宋_GB2312"/>
                      <w:sz w:val="22"/>
                    </w:rPr>
                    <w:t xml:space="preserve">       </w:t>
                  </w:r>
                </w:p>
                <w:p>
                  <w:pPr>
                    <w:pStyle w:val="null3"/>
                    <w:jc w:val="center"/>
                  </w:pPr>
                  <w:r>
                    <w:rPr>
                      <w:rFonts w:ascii="仿宋_GB2312" w:hAnsi="仿宋_GB2312" w:cs="仿宋_GB2312" w:eastAsia="仿宋_GB2312"/>
                      <w:sz w:val="22"/>
                    </w:rPr>
                    <w:t>（入职第一个月）</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所分配岗位的业务知识理论。</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第三阶段</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实操培训</w:t>
                  </w:r>
                  <w:r>
                    <w:rPr>
                      <w:rFonts w:ascii="仿宋_GB2312" w:hAnsi="仿宋_GB2312" w:cs="仿宋_GB2312" w:eastAsia="仿宋_GB2312"/>
                      <w:sz w:val="22"/>
                    </w:rPr>
                    <w:t xml:space="preserve">           </w:t>
                  </w:r>
                </w:p>
                <w:p>
                  <w:pPr>
                    <w:pStyle w:val="null3"/>
                    <w:jc w:val="center"/>
                  </w:pPr>
                  <w:r>
                    <w:rPr>
                      <w:rFonts w:ascii="仿宋_GB2312" w:hAnsi="仿宋_GB2312" w:cs="仿宋_GB2312" w:eastAsia="仿宋_GB2312"/>
                      <w:sz w:val="22"/>
                    </w:rPr>
                    <w:t>（入职第二个月）</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安排所有培训人员实践训练：</w:t>
                  </w:r>
                </w:p>
                <w:p>
                  <w:pPr>
                    <w:pStyle w:val="null3"/>
                    <w:numPr>
                      <w:ilvl w:val="0"/>
                      <w:numId w:val="1"/>
                    </w:numPr>
                    <w:jc w:val="left"/>
                  </w:pPr>
                  <w:r>
                    <w:rPr>
                      <w:rFonts w:ascii="仿宋_GB2312" w:hAnsi="仿宋_GB2312" w:cs="仿宋_GB2312" w:eastAsia="仿宋_GB2312"/>
                      <w:sz w:val="22"/>
                    </w:rPr>
                    <w:t>巩固业务知识、行为规范；</w:t>
                  </w:r>
                </w:p>
                <w:p>
                  <w:pPr>
                    <w:pStyle w:val="null3"/>
                    <w:jc w:val="left"/>
                  </w:pPr>
                  <w:r>
                    <w:rPr>
                      <w:rFonts w:ascii="仿宋_GB2312" w:hAnsi="仿宋_GB2312" w:cs="仿宋_GB2312" w:eastAsia="仿宋_GB2312"/>
                      <w:sz w:val="22"/>
                    </w:rPr>
                    <w:t>2、熟悉系统操作。</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第四阶段</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阶段测评</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1、新员工2个月后安排转正测评；</w:t>
                  </w:r>
                </w:p>
                <w:p>
                  <w:pPr>
                    <w:pStyle w:val="null3"/>
                    <w:jc w:val="left"/>
                  </w:pPr>
                  <w:r>
                    <w:rPr>
                      <w:rFonts w:ascii="仿宋_GB2312" w:hAnsi="仿宋_GB2312" w:cs="仿宋_GB2312" w:eastAsia="仿宋_GB2312"/>
                      <w:sz w:val="22"/>
                    </w:rPr>
                    <w:t>2、通过系统专业考试、现场测评等方式检查员工是否能够胜任岗位。</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详见磋商文件第三章“3.3.2服务要求”。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详见磋商文件第三章“3.3.2服务要求”。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服务期3年，采购合同一年一签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初验：完成人员配备并到达地点后，由使用单位根据合同对人员姓名、性别、学历、专业、工作情况等进行检查。 终验：所有人员配备完毕，正常工作1个月后，由使用单位进行终验（最终验收），合格后签发《终验合格单》。 2、验收结果处理： 验收不合格的成交单位，必须在接到通知后7个日历日内确保所有人员通过验收。如接到通知后7个日历日内验收仍不合格，招标人可提出索赔或取消其合同。 3、验收依据 3.1合同文本及合同补充文件（条款）。 3.2磋商文件、响应文件、澄清表（涵）。 3.4国家相应的标准、规范。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服务满1年无任何争议，支付当年合同费用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有权终止合同，并依法向中标供应商要求经济索赔，并报请政府采购监督管理机关进行相应的行政处罚。采购人违约的，应当赔偿给中标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实行两轮报价。第一轮报价（响应文件中的报价为第一轮报价）后，评审小组可以变更采购需求，第二轮报价为最终报价。如采购需求没有实质性变化，各供应商的报价应逐次降低，本次报价超过上次报价的，为无效报价。2.采购标的对应的中小企业划分标准所属行业为租赁和商务服务业。3、本项目专门面向中小企业采购。4、为顺利推进政府采购电子化交易平台试点应用工作，供应商需要在线提交所有通过电子化交易 平台实施的政府采购项目的投标文件，同时，线下提交纸质响应文件正本一份，未按照要求提供纸质版文件的按照无效响应处理。线下递交地址：西安市灞桥区沁水路与安泰路交汇处东草南兴善社区北门商铺东侧铁门内一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提供独立承担民事责任能力的法人、其他组织或自然人，企业法人、其他组织须具有合法有效的营业执照（或事业单位法人证书）等证明资料,自然人须具有身份证明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 2025 年度经审计的财务报告(供应商成立时间至提交磋商响应文件载止时间不足一年的，可提供成立后任意时段的资产负债表)，或基本存款账户开户银行出具的资信证明及基本存款账户开户许可证(或《基本存款账户信息》)(以上两种形式的资料提供任何一种即可)注:财会〔2023〕15 号文《财政部 国务院国资委 金融监管总局关于加强审计报告查验工作的通知》会计师事务所应当主动向被审计单位提供附验证码的审计报告，即2023 年及以后的审计报告需附验证码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磋商截止时间前6个月内任意一个月依法缴纳社会保障资金的证明文件；提供磋商截止时间前6个月内任意一个月依法缴纳税收的良好记录。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营业资质</w:t>
            </w:r>
          </w:p>
        </w:tc>
        <w:tc>
          <w:tcPr>
            <w:tcW w:type="dxa" w:w="3322"/>
          </w:tcPr>
          <w:p>
            <w:pPr>
              <w:pStyle w:val="null3"/>
            </w:pPr>
            <w:r>
              <w:rPr>
                <w:rFonts w:ascii="仿宋_GB2312" w:hAnsi="仿宋_GB2312" w:cs="仿宋_GB2312" w:eastAsia="仿宋_GB2312"/>
              </w:rPr>
              <w:t>提供行业行政主管部门颁发的《人力资源服务许可证》或《劳务派遣经营许可证》扫描件加盖公章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针对本项目服务内容及服务要求制定服务方案，包括但不限于： ①项目整体实施计划;②员工招聘渠道及储备机制;③员工关系管理方案;④档案资料管理方案;⑤用工风险防控方案;⑥保密管理方案；⑦工作配合保障方案。 方案内容完整、可行、条理清晰，每一项得5分；方案内容较完整、较可行、条理相对清晰，每一项得4分；内容基本完整、基本可行、条理基本清晰，每一项得3分；内容不完整、可行性差、条理不清晰，每一项得2分；方案内容有缺漏、可操作及性差，每一项得1分；每缺少一项，扣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供应商概况.docx</w:t>
            </w:r>
          </w:p>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提供确保服务质量的保障措施，包含但不限于： ①服务机制；②服务保障措施；③服务质量控制措施。 内容完整、可行、条理清晰，每一项得4分；内容较完整、较可行、条理相对清晰，每一项得3分；内容基本完整、基本可行、条理基本清晰，每一项得2分；内容不完整、可行性差、条理不清晰，每一项得1分；每缺少一项，扣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针对本项目提供拟派团队配置方案，包括但不限于： ①团队人员架构；②岗位人员配置及岗位职责；③拟派人员管理、考核制度。 方案完整、可行、条理清晰，每一项得4分；方案较完整、较可行、条理相对清晰，每一项得3分；方案基本完整、基本可行、条理基本清晰，每一项得2分；方案不完整、可行性差、条理不清晰，每一项得1分；每缺少一项，扣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针对本项目制定相关应急处置方案，内容包括但不限于： ①人员意外伤害处置方案；②劳务纠纷处置方案；③紧急任务及其他突发事件的处置方案。 方案完整、可行、条理清晰，每一项得4分；方案较完整、较可行、条理相对清晰，每一项得3分；方案基本完整、基本可行、条理基本清晰，每一项得2分；方案不完整、可行性差、条理不清晰，每一项得1分；每缺少一项，扣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针对本项目提供培训方案，内容包括但不限于： ①培训具体内容;②培训方式。 方案完整、可行、条理清晰，每一项得3分；方案基本完整、基本可行、条理基本清晰，每一项得2分；方案不完整、可行性差、条理不清晰，每一项得1分；每缺少一项，扣3分。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针对本项目服务质量、合法用人等提供服务承诺。 承诺内容详细、完整、条理清晰得5分；承诺内容较详细完整、条理相对清晰得4分；承诺内容基本完整、条理基本清晰得3分；承诺内容不完整、条理不太清晰，得2分；承诺内容有缺漏得1分；未提供不得分。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 内容全面、可操作性强得4分；内容基本全面、基本可操作得3分；内容不全面、可操作性不强得2分；内容有缺漏、可操作性差得1分；未提供不得分。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投标人提供2023年1月至今（以签订时间为准）承担过的同类项目业绩，每提供1份得1分，满分4分，未提供不得分（提供签订的合同扫描件加盖单位公章，原件备查）。</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1、满足招标文件要求的有效最低报价为评标基准价。 2、评标基准价得10分。 3、其他投标报价得分按（评标基准价/投标报价×10）的公式计算价格得分。 注：符合采购政策的按政策执行。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