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版本号：KWZ-2026-CS000420260413002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神鹿坊小学及灞桥区红旗街道中心幼儿园搬迁服务项目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KWZ-2026-CS0004</w:t>
      </w:r>
      <w:r>
        <w:br/>
      </w:r>
      <w:r>
        <w:br/>
      </w:r>
      <w:r>
        <w:br/>
      </w:r>
    </w:p>
    <w:p>
      <w:pPr>
        <w:pStyle w:val="null3"/>
        <w:jc w:val="center"/>
        <w:outlineLvl w:val="2"/>
      </w:pPr>
      <w:r>
        <w:rPr>
          <w:rFonts w:ascii="仿宋_GB2312" w:hAnsi="仿宋_GB2312" w:cs="仿宋_GB2312" w:eastAsia="仿宋_GB2312"/>
          <w:sz w:val="28"/>
          <w:b/>
        </w:rPr>
        <w:t>西安市灞桥区三殿中心小学</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西安市灞桥区三殿中心小学</w:t>
      </w:r>
      <w:r>
        <w:rPr>
          <w:rFonts w:ascii="仿宋_GB2312" w:hAnsi="仿宋_GB2312" w:cs="仿宋_GB2312" w:eastAsia="仿宋_GB2312"/>
        </w:rPr>
        <w:t>委托，拟对</w:t>
      </w:r>
      <w:r>
        <w:rPr>
          <w:rFonts w:ascii="仿宋_GB2312" w:hAnsi="仿宋_GB2312" w:cs="仿宋_GB2312" w:eastAsia="仿宋_GB2312"/>
        </w:rPr>
        <w:t>神鹿坊小学及灞桥区红旗街道中心幼儿园搬迁服务项目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KWZ-2026-CS0004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神鹿坊小学及灞桥区红旗街道中心幼儿园搬迁服务项目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因高铁东城项目建设，导致校园地址拆迁，原有设备未达到报废标准，需要把设备搬迁至新校址，故需要提供设备搬迁服务。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采购包1（神鹿坊小学及灞桥区红旗街道中心幼儿园搬迁服务项目）：属于专门面向中小企业采购。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合法注册的企业法人、事业法人或其他组织。企业法人应提供合法有效的标识有统一社会信用代码的营业执照副本;事业法人应提供事业单位法人证书;其他组织应提供国家规定合法登记证明文件。</w:t>
      </w:r>
    </w:p>
    <w:p>
      <w:pPr>
        <w:pStyle w:val="null3"/>
      </w:pPr>
      <w:r>
        <w:rPr>
          <w:rFonts w:ascii="仿宋_GB2312" w:hAnsi="仿宋_GB2312" w:cs="仿宋_GB2312" w:eastAsia="仿宋_GB2312"/>
        </w:rPr>
        <w:t>2、法定代表人（主要负责人）委托授权书\身份证明：供应商应授权合法的人员参加磋商全过程，其中法定代表人/负责人直接参加的，须提交法定代表人/负责人身份证明书和身份证。法定代表人/负责人授权代表参加的，须出具法定代表人/负责人授权书及授权代表身份证和在本单位的社会保障资金缴纳证明。</w:t>
      </w:r>
    </w:p>
    <w:p>
      <w:pPr>
        <w:pStyle w:val="null3"/>
      </w:pPr>
      <w:r>
        <w:rPr>
          <w:rFonts w:ascii="仿宋_GB2312" w:hAnsi="仿宋_GB2312" w:cs="仿宋_GB2312" w:eastAsia="仿宋_GB2312"/>
        </w:rPr>
        <w:t>3、财务状况报告：供应商提供2024年度经审计的财务报告（成立时间至提交磋商文件截止时间不足一年的可提供成立后任意时段的资产负债表），或其磋商前三个月内基本存款账户开户银行出具的资信证明，或财政部门认可的政府采购专业担保机构出具的投标担保函。</w:t>
      </w:r>
    </w:p>
    <w:p>
      <w:pPr>
        <w:pStyle w:val="null3"/>
      </w:pPr>
      <w:r>
        <w:rPr>
          <w:rFonts w:ascii="仿宋_GB2312" w:hAnsi="仿宋_GB2312" w:cs="仿宋_GB2312" w:eastAsia="仿宋_GB2312"/>
        </w:rPr>
        <w:t>4、社会保障资金缴纳证明：提供2025年1月至今已缴存的至少1个月的社会保障资金缴纳证明（银行缴费凭证或社保完税证明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5、税收缴纳证明：提供2025年1月至今已缴纳的至少1个月的税收缴纳证明（银行缴费凭证或税收完税证明），依法免税的单位应提供相关证明材料。</w:t>
      </w:r>
    </w:p>
    <w:p>
      <w:pPr>
        <w:pStyle w:val="null3"/>
      </w:pPr>
      <w:r>
        <w:rPr>
          <w:rFonts w:ascii="仿宋_GB2312" w:hAnsi="仿宋_GB2312" w:cs="仿宋_GB2312" w:eastAsia="仿宋_GB2312"/>
        </w:rPr>
        <w:t>6、承诺书：供应商须提供具有履行合同所必需的设备和专业技术能力的承诺。</w:t>
      </w:r>
    </w:p>
    <w:p>
      <w:pPr>
        <w:pStyle w:val="null3"/>
      </w:pPr>
      <w:r>
        <w:rPr>
          <w:rFonts w:ascii="仿宋_GB2312" w:hAnsi="仿宋_GB2312" w:cs="仿宋_GB2312" w:eastAsia="仿宋_GB2312"/>
        </w:rPr>
        <w:t>7、无重大违法记录声明：供应商应具备良好的商业信誉，提供参加政府采购活动前3年内在经营活动中没有重大违法记录的书面声明。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记录审查结果：供应商不得为"信用中国"网(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西安市灞桥区三殿中心小学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西安市灞桥区红旗街道三殿村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西安市灞桥区三殿中心小学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13700291195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西安市灞桥区纺织城街道半坡国际广场1号楼3008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李幸子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西安市灞桥区三殿中心小学</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西安市灞桥区三殿中心小学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西安市灞桥区三殿中心小学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陕西科旺兴建设项目管理有限公司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联系人：李幸子</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地址：西安市灞桥区纺织城街道半坡国际广场1号楼3008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因高铁东城项目建设，导致校园地址拆迁，原有设备未达到报废标准，需要把设备搬迁至新校址，故需要提供设备搬迁服务。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295,000.00</w:t>
      </w:r>
    </w:p>
    <w:p>
      <w:pPr>
        <w:pStyle w:val="null3"/>
      </w:pPr>
      <w:r>
        <w:rPr>
          <w:rFonts w:ascii="仿宋_GB2312" w:hAnsi="仿宋_GB2312" w:cs="仿宋_GB2312" w:eastAsia="仿宋_GB2312"/>
        </w:rPr>
        <w:t>采购包最高限价（元）: 295,000.00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搬迁服务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标的名称：搬迁服务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310"/>
              <w:gridCol w:w="907"/>
              <w:gridCol w:w="435"/>
              <w:gridCol w:w="377"/>
              <w:gridCol w:w="509"/>
            </w:tblGrid>
            <w:tr>
              <w:tc>
                <w:tcPr>
                  <w:tcW w:type="dxa" w:w="310"/>
                  <w:tcBorders>
                    <w:top w:val="single" w:color="000000" w:sz="4"/>
                    <w:left w:val="single" w:color="000000" w:sz="4"/>
                    <w:bottom w:val="single" w:color="000000" w:sz="4"/>
                    <w:right w:val="single" w:color="000000" w:sz="4"/>
                  </w:tcBorders>
                  <w:shd w:fill="9F9EA4"/>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序号</w:t>
                  </w:r>
                </w:p>
              </w:tc>
              <w:tc>
                <w:tcPr>
                  <w:tcW w:type="dxa" w:w="907"/>
                  <w:tcBorders>
                    <w:top w:val="single" w:color="000000" w:sz="4"/>
                    <w:left w:val="single" w:color="000000" w:sz="4"/>
                    <w:bottom w:val="single" w:color="000000" w:sz="4"/>
                    <w:right w:val="single" w:color="000000" w:sz="4"/>
                  </w:tcBorders>
                  <w:shd w:fill="9D9BA1"/>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名称</w:t>
                  </w:r>
                </w:p>
              </w:tc>
              <w:tc>
                <w:tcPr>
                  <w:tcW w:type="dxa" w:w="435"/>
                  <w:tcBorders>
                    <w:top w:val="single" w:color="000000" w:sz="4"/>
                    <w:left w:val="single" w:color="000000" w:sz="4"/>
                    <w:bottom w:val="single" w:color="000000" w:sz="4"/>
                    <w:right w:val="single" w:color="000000" w:sz="4"/>
                  </w:tcBorders>
                  <w:shd w:fill="9C9BA1"/>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数量</w:t>
                  </w:r>
                </w:p>
              </w:tc>
              <w:tc>
                <w:tcPr>
                  <w:tcW w:type="dxa" w:w="377"/>
                  <w:tcBorders>
                    <w:top w:val="single" w:color="000000" w:sz="4"/>
                    <w:left w:val="single" w:color="000000" w:sz="4"/>
                    <w:bottom w:val="single" w:color="000000" w:sz="4"/>
                    <w:right w:val="single" w:color="000000" w:sz="4"/>
                  </w:tcBorders>
                  <w:shd w:fill="9C9BA1"/>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单位</w:t>
                  </w:r>
                </w:p>
              </w:tc>
              <w:tc>
                <w:tcPr>
                  <w:tcW w:type="dxa" w:w="509"/>
                  <w:tcBorders>
                    <w:top w:val="single" w:color="000000" w:sz="4"/>
                    <w:left w:val="single" w:color="000000" w:sz="4"/>
                    <w:bottom w:val="single" w:color="000000" w:sz="4"/>
                    <w:right w:val="single" w:color="000000" w:sz="4"/>
                  </w:tcBorders>
                  <w:shd w:fill="98979D"/>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备注</w:t>
                  </w:r>
                </w:p>
              </w:tc>
            </w:tr>
            <w:tr>
              <w:tc>
                <w:tcPr>
                  <w:tcW w:type="dxa" w:w="2538"/>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jc w:val="center"/>
                  </w:pPr>
                  <w:r>
                    <w:rPr>
                      <w:rFonts w:ascii="仿宋_GB2312" w:hAnsi="仿宋_GB2312" w:cs="仿宋_GB2312" w:eastAsia="仿宋_GB2312"/>
                      <w:sz w:val="32"/>
                      <w:color w:val="000000"/>
                    </w:rPr>
                    <w:t>神鹿坊小学</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w:t>
                  </w:r>
                </w:p>
              </w:tc>
              <w:tc>
                <w:tcPr>
                  <w:tcW w:type="dxa" w:w="9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搬迁及运输</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160</w:t>
                  </w:r>
                </w:p>
              </w:tc>
              <w:tc>
                <w:tcPr>
                  <w:tcW w:type="dxa" w:w="3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车</w:t>
                  </w:r>
                </w:p>
              </w:tc>
              <w:tc>
                <w:tcPr>
                  <w:tcW w:type="dxa" w:w="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含楼层及人工搬运</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会议桌拆装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组</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6m*1.2m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3</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阶梯教室长椅拆装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160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座</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1m*4.8m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4</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阶梯教室灯光、显示屏音响拆装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4m*3m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5</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微机室电脑桌</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46</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组</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120cm*60cm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6</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办公桌拆装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30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张</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120cm*60cm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7</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架子床拆装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6</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张</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900*2000*1750mm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8</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监控拆装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80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点</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含搬入新址教室监控安装布线</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9</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空调挂机移机</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26</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0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含加氟、打眼、换管</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10</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空调柜机移机</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09"/>
                  <w:vMerge/>
                  <w:tcBorders>
                    <w:top w:val="none" w:color="000000" w:sz="4"/>
                    <w:left w:val="single" w:color="000000" w:sz="4"/>
                    <w:bottom w:val="none" w:color="000000" w:sz="4"/>
                    <w:right w:val="single" w:color="000000" w:sz="4"/>
                  </w:tcBorders>
                </w:tc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11</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拆装教室多媒体</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11</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86寸智慧黑板</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实验室桌椅拆装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9</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六角桌</w:t>
                  </w:r>
                  <w:r>
                    <w:rPr>
                      <w:rFonts w:ascii="仿宋_GB2312" w:hAnsi="仿宋_GB2312" w:cs="仿宋_GB2312" w:eastAsia="仿宋_GB2312"/>
                      <w:sz w:val="24"/>
                      <w:color w:val="000000"/>
                    </w:rPr>
                    <w:t>1.2m*75cm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13</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科技室桌椅拆装</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1.2m*75cm</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14</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图书下架装箱及上架</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200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箱</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电脑、打印机装箱</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箱</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其他物品装箱</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400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箱</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56台电脑</w:t>
                  </w:r>
                </w:p>
                <w:p>
                  <w:pPr>
                    <w:pStyle w:val="null3"/>
                    <w:spacing w:before="150"/>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家具包装</w:t>
                  </w:r>
                  <w:r>
                    <w:rPr>
                      <w:rFonts w:ascii="仿宋_GB2312" w:hAnsi="仿宋_GB2312" w:cs="仿宋_GB2312" w:eastAsia="仿宋_GB2312"/>
                      <w:sz w:val="24"/>
                      <w:color w:val="000000"/>
                    </w:rPr>
                    <w:t>(气泡膜)</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20</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卷</w:t>
                  </w:r>
                </w:p>
              </w:tc>
              <w:tc>
                <w:tcPr>
                  <w:tcW w:type="dxa" w:w="50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（漆面、皮质及实木家具包装）</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18</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家具包装</w:t>
                  </w:r>
                  <w:r>
                    <w:rPr>
                      <w:rFonts w:ascii="仿宋_GB2312" w:hAnsi="仿宋_GB2312" w:cs="仿宋_GB2312" w:eastAsia="仿宋_GB2312"/>
                      <w:sz w:val="24"/>
                      <w:color w:val="000000"/>
                    </w:rPr>
                    <w:t>(缠绕膜)</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6</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卷</w:t>
                  </w:r>
                </w:p>
              </w:tc>
              <w:tc>
                <w:tcPr>
                  <w:tcW w:type="dxa" w:w="509"/>
                  <w:vMerge/>
                  <w:tcBorders>
                    <w:top w:val="none" w:color="000000" w:sz="4"/>
                    <w:left w:val="single" w:color="000000" w:sz="4"/>
                    <w:bottom w:val="none" w:color="000000" w:sz="4"/>
                    <w:right w:val="single" w:color="000000" w:sz="4"/>
                  </w:tcBorders>
                </w:tc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19</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篮球架重件</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3</w:t>
                  </w:r>
                </w:p>
              </w:tc>
              <w:tc>
                <w:tcPr>
                  <w:tcW w:type="dxa" w:w="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p>
              </w:tc>
            </w:tr>
          </w:tbl>
          <w:tbl>
            <w:tblPr>
              <w:tblInd w:type="dxa" w:w="120"/>
              <w:tblBorders>
                <w:top w:val="none" w:color="000000" w:sz="4"/>
                <w:left w:val="none" w:color="000000" w:sz="4"/>
                <w:bottom w:val="none" w:color="000000" w:sz="4"/>
                <w:right w:val="none" w:color="000000" w:sz="4"/>
                <w:insideH w:val="none"/>
                <w:insideV w:val="none"/>
              </w:tblBorders>
            </w:tblPr>
            <w:tblGrid>
              <w:gridCol w:w="311"/>
              <w:gridCol w:w="904"/>
              <w:gridCol w:w="419"/>
              <w:gridCol w:w="386"/>
              <w:gridCol w:w="518"/>
            </w:tblGrid>
            <w:tr>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20</w:t>
                  </w:r>
                </w:p>
              </w:tc>
              <w:tc>
                <w:tcPr>
                  <w:tcW w:type="dxa" w:w="9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钢琴重件</w:t>
                  </w:r>
                </w:p>
              </w:tc>
              <w:tc>
                <w:tcPr>
                  <w:tcW w:type="dxa" w:w="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1.2m*60cm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21</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4"/>
                      <w:color w:val="000000"/>
                    </w:rPr>
                    <w:t>厨房重件</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3</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打包箱</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1000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保险</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200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人</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p>
              </w:tc>
            </w:tr>
            <w:tr>
              <w:tc>
                <w:tcPr>
                  <w:tcW w:type="dxa" w:w="2538"/>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rPr>
                    <w:t>红旗街道中心幼儿园</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1</w:t>
                  </w:r>
                </w:p>
              </w:tc>
              <w:tc>
                <w:tcPr>
                  <w:tcW w:type="dxa" w:w="9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4"/>
                      <w:color w:val="000000"/>
                    </w:rPr>
                    <w:t>空调柜机移机</w:t>
                  </w:r>
                </w:p>
              </w:tc>
              <w:tc>
                <w:tcPr>
                  <w:tcW w:type="dxa" w:w="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55</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多媒体</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75寸一体机</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3</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变压器</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项</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办公桌</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18</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1.2m*60cm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5</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4"/>
                      <w:color w:val="000000"/>
                    </w:rPr>
                    <w:t>会议桌</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组</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6m*1.2m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6</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柜子</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15</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900*400*1800mm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7</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纸箱</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400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室内屏</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4m*2m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9</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室外屏</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2</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4m*3m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10</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架子床</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25</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900*2000*1750mm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11</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厨房设备</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6</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车</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幼儿床</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300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150*70cm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13</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库房杂物</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30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车</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户外玩具</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3</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组</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200*300cm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15</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户外舞台</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套</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5m*3m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16</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钢琴</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7</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1.2m*60</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17</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监控</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55</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个</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三角钢琴</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台</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1.5*1.55m</w:t>
                  </w:r>
                </w:p>
              </w:tc>
            </w:tr>
            <w:tr>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19</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幼儿玩具</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18</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车</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由校旧址搬迁至采购人指定地点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所有货物到达甲方指定地点，安装、调试完毕，终验合格后15个工作日内一次性支付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成交单位在结果公示后3个工作日内应向代理机构提供3套纸质版响应文件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供应商为合法注册的企业法人、事业法人或其他组织。企业法人应提供合法有效的标识有统一社会信用代码的营业执照副本;事业法人应提供事业单位法人证书;其他组织应提供国家规定合法登记证明文件。</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交法定代表人/负责人身份证明书和身份证。法定代表人/负责人授权代表参加的，须出具法定代表人/负责人授权书及授权代表身份证和在本单位的社会保障资金缴纳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成立时间至提交磋商文件截止时间不足一年的可提供成立后任意时段的资产负债表），或其磋商前三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提供2025年1月至今已缴存的至少1个月的社会保障资金缴纳证明（银行缴费凭证或社保完税证明或社保机构开具的社会保险参保缴费情况证明），依法不需要缴纳社会保障资金的单位应提供相关证明材料。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提供2025年1月至今已缴纳的至少1个月的税收缴纳证明（银行缴费凭证或税收完税证明），依法免税的单位应提供相关证明材料。</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供应商不得为"信用中国"网(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响应文件（格式）.docx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响应文件（格式）.docx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商务偏离无负偏离；首次报价唯一；分项报价表无缺项</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响应文件（格式）.docx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服务需求</w:t>
            </w:r>
          </w:p>
        </w:tc>
        <w:tc>
          <w:tcPr>
            <w:tcW w:type="dxa" w:w="2492"/>
          </w:tcPr>
          <w:p>
            <w:pPr>
              <w:pStyle w:val="null3"/>
            </w:pPr>
            <w:r>
              <w:rPr>
                <w:rFonts w:ascii="仿宋_GB2312" w:hAnsi="仿宋_GB2312" w:cs="仿宋_GB2312" w:eastAsia="仿宋_GB2312"/>
              </w:rPr>
              <w:t>针对本项目的①总体服务需求分析、②服务规划、③服务进度规划，分别进行阐述，每项4分:每项内容完整齐全、科学合理、符合采购需求的得4分:每缺少一项方案内容扣4分，每有一项内容存在缺陷的扣1分，扣完为止。注:内容存在缺陷是指:1该项内容描述前后不一致:2该项内容所阐述的项目信息与本项目实际信息不一致:该项内容引用的规定、规范错误:4该项内容描述不符合国家相关法律法规、政策文件、规范标准要求:5该项内容阐述的方式方法明显不符合本项目实际情况:@该项内容描述与本项目实际情况不符:该项内容套用其他项目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具体情况制定的服务方案：①工作组织方案、②服务管理制度、③组织协调方案、④迁移服务目标、⑤职业道德与保密措施。每项4分：每项内容完整齐全、科学合理、符合采购需求的得4分；每缺少一项方案内容扣4分，每有一项内容存在缺陷的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服务保证措施：①进度措施、②服务质量保证措施、③安全保证措施、④系统运行调试措施。每项4分：每项内容完整齐全、科学合理、符合采购需求的得4分；每缺少一项方案内容扣4分，每有一项内容存在缺陷的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对本工作的①重点分析、②难点分析。每项4分：每项分析内容全面合理、完整详实、叙述清楚、节点明确符合实际得4分，每缺少一项方案内容扣4分，每有一项内容存在缺陷的扣1分，扣完为止。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包括①应急预案内容、②应急事项的处理流程方法、③日常系统维护方案等。每项4分：每项内容全面、编制科学、具体，处理流程方法详细、可行，能充分满足项目实施过程中的应急需要得4分；每缺少一项方案内容扣4分，每有一项内容存在缺陷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各项服务承诺</w:t>
            </w:r>
          </w:p>
        </w:tc>
        <w:tc>
          <w:tcPr>
            <w:tcW w:type="dxa" w:w="2492"/>
          </w:tcPr>
          <w:p>
            <w:pPr>
              <w:pStyle w:val="null3"/>
            </w:pPr>
            <w:r>
              <w:rPr>
                <w:rFonts w:ascii="仿宋_GB2312" w:hAnsi="仿宋_GB2312" w:cs="仿宋_GB2312" w:eastAsia="仿宋_GB2312"/>
              </w:rPr>
              <w:t>向采购人提供的各项服务承诺：① 售后响应时间、②售后人员配备、 ③售后服务体系、④售后服务保障 措施，每项4分：每项内容详细完 善、切实可行，能充分考虑到采购 人的需求的得4分；每缺少一项方 案内容扣4分，每有一项内容存在 缺陷的扣1分，扣完为止。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针对本项目实施过程中或后续服务方面提出合理化的建议。建议明确、合理、可行得1分；建议不合理或未提供不得分。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供应商近年（2023年1月1日至今）已完成类似项目业绩，每提供一个业绩得2.5分，满分5分，以加盖公章的合同和中标通知书复印件为准。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10x(磋商基准价/最终磋商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详见附件：示范合同.docx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