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78598D">
      <w:pPr>
        <w:jc w:val="center"/>
        <w:textAlignment w:val="baseline"/>
        <w:rPr>
          <w:rStyle w:val="6"/>
          <w:rFonts w:hint="eastAsia" w:ascii="仿宋" w:hAnsi="仿宋" w:eastAsia="仿宋" w:cs="仿宋"/>
          <w:b/>
          <w:bCs/>
          <w:color w:val="000000"/>
          <w:sz w:val="48"/>
          <w:szCs w:val="36"/>
          <w:highlight w:val="none"/>
          <w:lang w:bidi="ar-SA"/>
        </w:rPr>
      </w:pPr>
      <w:r>
        <w:rPr>
          <w:rStyle w:val="6"/>
          <w:rFonts w:hint="eastAsia" w:ascii="仿宋" w:hAnsi="仿宋" w:eastAsia="仿宋" w:cs="仿宋"/>
          <w:b/>
          <w:bCs/>
          <w:color w:val="000000"/>
          <w:sz w:val="48"/>
          <w:szCs w:val="36"/>
          <w:highlight w:val="none"/>
          <w:lang w:bidi="ar-SA"/>
        </w:rPr>
        <w:t xml:space="preserve"> </w:t>
      </w:r>
    </w:p>
    <w:p w14:paraId="1EBC15B0">
      <w:pPr>
        <w:jc w:val="center"/>
        <w:textAlignment w:val="baseline"/>
        <w:rPr>
          <w:rStyle w:val="6"/>
          <w:rFonts w:hint="eastAsia" w:ascii="仿宋" w:hAnsi="仿宋" w:eastAsia="仿宋" w:cs="仿宋"/>
          <w:color w:val="000000"/>
          <w:highlight w:val="none"/>
          <w:lang w:bidi="ar-SA"/>
        </w:rPr>
      </w:pPr>
      <w:r>
        <w:rPr>
          <w:rFonts w:hint="eastAsia" w:ascii="仿宋" w:hAnsi="仿宋" w:eastAsia="仿宋" w:cs="仿宋"/>
          <w:b/>
          <w:bCs/>
          <w:sz w:val="52"/>
          <w:szCs w:val="56"/>
          <w:highlight w:val="none"/>
          <w:lang w:eastAsia="zh-CN"/>
        </w:rPr>
        <w:t>神鹿坊小学及灞桥区红旗街道中心幼儿园搬迁服务项目</w:t>
      </w:r>
      <w:r>
        <w:rPr>
          <w:rStyle w:val="6"/>
          <w:rFonts w:hint="eastAsia" w:ascii="仿宋" w:hAnsi="仿宋" w:eastAsia="仿宋" w:cs="仿宋"/>
          <w:b/>
          <w:bCs/>
          <w:color w:val="000000"/>
          <w:sz w:val="60"/>
          <w:szCs w:val="48"/>
          <w:highlight w:val="none"/>
          <w:lang w:bidi="ar-SA"/>
        </w:rPr>
        <w:t xml:space="preserve"> </w:t>
      </w:r>
    </w:p>
    <w:p w14:paraId="67B22A26">
      <w:pPr>
        <w:jc w:val="center"/>
        <w:textAlignment w:val="baseline"/>
        <w:rPr>
          <w:rStyle w:val="6"/>
          <w:rFonts w:hint="eastAsia" w:ascii="仿宋" w:hAnsi="仿宋" w:eastAsia="仿宋" w:cs="仿宋"/>
          <w:b/>
          <w:color w:val="000000"/>
          <w:sz w:val="36"/>
          <w:szCs w:val="36"/>
          <w:highlight w:val="none"/>
          <w:lang w:bidi="ar-SA"/>
        </w:rPr>
      </w:pPr>
    </w:p>
    <w:p w14:paraId="2E87F255">
      <w:pPr>
        <w:pStyle w:val="3"/>
        <w:rPr>
          <w:rStyle w:val="6"/>
          <w:rFonts w:hint="eastAsia" w:ascii="仿宋" w:hAnsi="仿宋" w:eastAsia="仿宋" w:cs="仿宋"/>
          <w:b/>
          <w:color w:val="000000"/>
          <w:sz w:val="36"/>
          <w:szCs w:val="36"/>
          <w:highlight w:val="none"/>
          <w:lang w:bidi="ar-SA"/>
        </w:rPr>
      </w:pPr>
    </w:p>
    <w:p w14:paraId="3C2CD5F5">
      <w:pPr>
        <w:pStyle w:val="3"/>
        <w:rPr>
          <w:rStyle w:val="6"/>
          <w:rFonts w:hint="eastAsia" w:ascii="仿宋" w:hAnsi="仿宋" w:eastAsia="仿宋" w:cs="仿宋"/>
          <w:b/>
          <w:color w:val="000000"/>
          <w:sz w:val="36"/>
          <w:szCs w:val="36"/>
          <w:highlight w:val="none"/>
          <w:lang w:bidi="ar-SA"/>
        </w:rPr>
      </w:pPr>
    </w:p>
    <w:p w14:paraId="10AEC9AD">
      <w:pPr>
        <w:pStyle w:val="3"/>
        <w:rPr>
          <w:rStyle w:val="6"/>
          <w:rFonts w:hint="eastAsia" w:ascii="仿宋" w:hAnsi="仿宋" w:eastAsia="仿宋" w:cs="仿宋"/>
          <w:b/>
          <w:color w:val="000000"/>
          <w:sz w:val="36"/>
          <w:szCs w:val="36"/>
          <w:highlight w:val="none"/>
          <w:lang w:bidi="ar-SA"/>
        </w:rPr>
      </w:pPr>
    </w:p>
    <w:p w14:paraId="5ED262D0">
      <w:pPr>
        <w:pStyle w:val="3"/>
        <w:rPr>
          <w:rStyle w:val="6"/>
          <w:rFonts w:hint="eastAsia" w:ascii="仿宋" w:hAnsi="仿宋" w:eastAsia="仿宋" w:cs="仿宋"/>
          <w:b/>
          <w:color w:val="000000"/>
          <w:sz w:val="36"/>
          <w:szCs w:val="36"/>
          <w:highlight w:val="none"/>
          <w:lang w:bidi="ar-SA"/>
        </w:rPr>
      </w:pPr>
    </w:p>
    <w:p w14:paraId="138EDBF9">
      <w:pPr>
        <w:pStyle w:val="3"/>
        <w:rPr>
          <w:rStyle w:val="6"/>
          <w:rFonts w:hint="eastAsia" w:ascii="仿宋" w:hAnsi="仿宋" w:eastAsia="仿宋" w:cs="仿宋"/>
          <w:b/>
          <w:color w:val="000000"/>
          <w:sz w:val="36"/>
          <w:szCs w:val="36"/>
          <w:highlight w:val="none"/>
          <w:lang w:bidi="ar-SA"/>
        </w:rPr>
      </w:pPr>
    </w:p>
    <w:p w14:paraId="25DBCAE7">
      <w:pPr>
        <w:pStyle w:val="3"/>
        <w:rPr>
          <w:rStyle w:val="6"/>
          <w:rFonts w:hint="eastAsia" w:ascii="仿宋" w:hAnsi="仿宋" w:eastAsia="仿宋" w:cs="仿宋"/>
          <w:b/>
          <w:color w:val="000000"/>
          <w:sz w:val="36"/>
          <w:szCs w:val="36"/>
          <w:highlight w:val="none"/>
          <w:lang w:bidi="ar-SA"/>
        </w:rPr>
      </w:pPr>
    </w:p>
    <w:p w14:paraId="290E418D">
      <w:pPr>
        <w:jc w:val="center"/>
        <w:textAlignment w:val="baseline"/>
        <w:rPr>
          <w:rStyle w:val="6"/>
          <w:rFonts w:hint="eastAsia" w:ascii="仿宋" w:hAnsi="仿宋" w:eastAsia="仿宋" w:cs="仿宋"/>
          <w:b/>
          <w:color w:val="000000"/>
          <w:sz w:val="36"/>
          <w:szCs w:val="36"/>
          <w:highlight w:val="none"/>
          <w:lang w:bidi="ar-SA"/>
        </w:rPr>
      </w:pPr>
      <w:r>
        <w:rPr>
          <w:rFonts w:hint="eastAsia" w:ascii="仿宋" w:hAnsi="仿宋" w:eastAsia="仿宋" w:cs="仿宋"/>
          <w:b w:val="0"/>
          <w:bCs/>
          <w:sz w:val="24"/>
          <w:szCs w:val="20"/>
          <w:highlight w:val="none"/>
        </w:rPr>
        <w:t>（</w:t>
      </w:r>
      <w:r>
        <w:rPr>
          <w:rFonts w:hint="eastAsia" w:ascii="仿宋" w:hAnsi="仿宋" w:eastAsia="仿宋" w:cs="仿宋"/>
          <w:b w:val="0"/>
          <w:bCs/>
          <w:sz w:val="24"/>
          <w:szCs w:val="20"/>
          <w:highlight w:val="none"/>
          <w:lang w:eastAsia="zh-CN"/>
        </w:rPr>
        <w:t>本文本为</w:t>
      </w:r>
      <w:r>
        <w:rPr>
          <w:rFonts w:hint="eastAsia" w:ascii="仿宋" w:hAnsi="仿宋" w:eastAsia="仿宋" w:cs="仿宋"/>
          <w:b w:val="0"/>
          <w:bCs/>
          <w:sz w:val="24"/>
          <w:szCs w:val="20"/>
          <w:highlight w:val="none"/>
        </w:rPr>
        <w:t>示范文本</w:t>
      </w:r>
      <w:r>
        <w:rPr>
          <w:rFonts w:hint="eastAsia" w:ascii="仿宋" w:hAnsi="仿宋" w:eastAsia="仿宋" w:cs="仿宋"/>
          <w:b w:val="0"/>
          <w:bCs/>
          <w:sz w:val="24"/>
          <w:szCs w:val="20"/>
          <w:highlight w:val="none"/>
          <w:lang w:eastAsia="zh-CN"/>
        </w:rPr>
        <w:t>，具体以甲乙双方签订合同为准</w:t>
      </w:r>
      <w:r>
        <w:rPr>
          <w:rFonts w:hint="eastAsia" w:ascii="仿宋" w:hAnsi="仿宋" w:eastAsia="仿宋" w:cs="仿宋"/>
          <w:b w:val="0"/>
          <w:bCs/>
          <w:sz w:val="24"/>
          <w:szCs w:val="20"/>
          <w:highlight w:val="none"/>
        </w:rPr>
        <w:t>）</w:t>
      </w:r>
    </w:p>
    <w:p w14:paraId="24DF3DA8">
      <w:pPr>
        <w:jc w:val="center"/>
        <w:textAlignment w:val="baseline"/>
        <w:rPr>
          <w:rStyle w:val="6"/>
          <w:rFonts w:hint="eastAsia" w:ascii="仿宋" w:hAnsi="仿宋" w:eastAsia="仿宋" w:cs="仿宋"/>
          <w:b/>
          <w:color w:val="000000"/>
          <w:sz w:val="36"/>
          <w:szCs w:val="36"/>
          <w:highlight w:val="none"/>
          <w:lang w:bidi="ar-SA"/>
        </w:rPr>
      </w:pPr>
    </w:p>
    <w:p w14:paraId="453ED50C">
      <w:pPr>
        <w:pStyle w:val="3"/>
        <w:jc w:val="center"/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  <w:lang w:bidi="ar-SA"/>
        </w:rPr>
      </w:pPr>
    </w:p>
    <w:p w14:paraId="5B57A77C">
      <w:pPr>
        <w:jc w:val="center"/>
        <w:textAlignment w:val="baseline"/>
        <w:rPr>
          <w:rStyle w:val="6"/>
          <w:rFonts w:hint="eastAsia" w:ascii="仿宋" w:hAnsi="仿宋" w:eastAsia="仿宋" w:cs="仿宋"/>
          <w:b/>
          <w:color w:val="000000"/>
          <w:sz w:val="36"/>
          <w:szCs w:val="36"/>
          <w:highlight w:val="none"/>
          <w:lang w:bidi="ar-SA"/>
        </w:rPr>
      </w:pPr>
    </w:p>
    <w:p w14:paraId="5D1B65EA">
      <w:pPr>
        <w:jc w:val="center"/>
        <w:textAlignment w:val="baseline"/>
        <w:rPr>
          <w:rStyle w:val="6"/>
          <w:rFonts w:hint="eastAsia" w:ascii="仿宋" w:hAnsi="仿宋" w:eastAsia="仿宋" w:cs="仿宋"/>
          <w:b/>
          <w:color w:val="000000"/>
          <w:sz w:val="36"/>
          <w:szCs w:val="36"/>
          <w:highlight w:val="none"/>
          <w:lang w:bidi="ar-SA"/>
        </w:rPr>
      </w:pPr>
    </w:p>
    <w:p w14:paraId="25F6CD38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</w:p>
    <w:p w14:paraId="07CD5966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</w:p>
    <w:p w14:paraId="0A43411E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</w:p>
    <w:p w14:paraId="0361A522">
      <w:pPr>
        <w:kinsoku w:val="0"/>
        <w:spacing w:line="360" w:lineRule="auto"/>
        <w:ind w:firstLine="900" w:firstLineChars="250"/>
        <w:rPr>
          <w:rFonts w:hint="eastAsia" w:ascii="仿宋" w:hAnsi="仿宋" w:eastAsia="仿宋" w:cs="仿宋"/>
          <w:bCs/>
          <w:color w:val="000000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36"/>
          <w:szCs w:val="36"/>
          <w:highlight w:val="none"/>
        </w:rPr>
        <w:t>甲方：</w:t>
      </w:r>
      <w:r>
        <w:rPr>
          <w:rFonts w:hint="eastAsia" w:ascii="仿宋" w:hAnsi="仿宋" w:eastAsia="仿宋" w:cs="仿宋"/>
          <w:bCs/>
          <w:color w:val="000000"/>
          <w:sz w:val="36"/>
          <w:szCs w:val="36"/>
          <w:highlight w:val="none"/>
          <w:u w:val="single"/>
          <w:lang w:val="en-US" w:eastAsia="zh-CN"/>
        </w:rPr>
        <w:t xml:space="preserve">              </w:t>
      </w:r>
    </w:p>
    <w:p w14:paraId="5F2AE12D">
      <w:pPr>
        <w:kinsoku w:val="0"/>
        <w:spacing w:line="360" w:lineRule="auto"/>
        <w:ind w:firstLine="900" w:firstLineChars="25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36"/>
          <w:szCs w:val="36"/>
          <w:highlight w:val="none"/>
        </w:rPr>
        <w:t>乙方：</w:t>
      </w:r>
      <w:r>
        <w:rPr>
          <w:rFonts w:hint="eastAsia" w:ascii="仿宋" w:hAnsi="仿宋" w:eastAsia="仿宋" w:cs="仿宋"/>
          <w:bCs/>
          <w:color w:val="000000"/>
          <w:sz w:val="36"/>
          <w:szCs w:val="36"/>
          <w:highlight w:val="none"/>
          <w:u w:val="single"/>
        </w:rPr>
        <w:t xml:space="preserve">              </w:t>
      </w:r>
    </w:p>
    <w:p w14:paraId="2FBC780C">
      <w:pPr>
        <w:jc w:val="center"/>
        <w:textAlignment w:val="baseline"/>
        <w:rPr>
          <w:rStyle w:val="6"/>
          <w:rFonts w:hint="eastAsia" w:ascii="仿宋" w:hAnsi="仿宋" w:eastAsia="仿宋" w:cs="仿宋"/>
          <w:b/>
          <w:color w:val="000000"/>
          <w:sz w:val="36"/>
          <w:szCs w:val="36"/>
          <w:highlight w:val="none"/>
          <w:lang w:bidi="ar-SA"/>
        </w:rPr>
      </w:pPr>
    </w:p>
    <w:p w14:paraId="775CD58E">
      <w:pPr>
        <w:jc w:val="both"/>
        <w:textAlignment w:val="baseline"/>
        <w:rPr>
          <w:rStyle w:val="6"/>
          <w:rFonts w:hint="eastAsia" w:ascii="仿宋" w:hAnsi="仿宋" w:eastAsia="仿宋" w:cs="仿宋"/>
          <w:b/>
          <w:color w:val="000000"/>
          <w:sz w:val="36"/>
          <w:szCs w:val="36"/>
          <w:highlight w:val="none"/>
          <w:lang w:bidi="ar-SA"/>
        </w:rPr>
      </w:pPr>
    </w:p>
    <w:p w14:paraId="08FD4EB6">
      <w:pPr>
        <w:kinsoku w:val="0"/>
        <w:spacing w:line="360" w:lineRule="auto"/>
        <w:ind w:firstLine="527" w:firstLineChars="250"/>
        <w:rPr>
          <w:rFonts w:hint="eastAsia" w:ascii="仿宋" w:hAnsi="仿宋" w:eastAsia="仿宋" w:cs="仿宋"/>
          <w:b/>
          <w:color w:val="000000"/>
          <w:highlight w:val="none"/>
          <w:u w:val="single"/>
          <w:lang w:bidi="ar-SA"/>
        </w:rPr>
      </w:pPr>
      <w:r>
        <w:rPr>
          <w:rFonts w:hint="eastAsia" w:ascii="仿宋" w:hAnsi="仿宋" w:eastAsia="仿宋" w:cs="仿宋"/>
          <w:b/>
          <w:color w:val="000000"/>
          <w:highlight w:val="none"/>
          <w:u w:val="single"/>
          <w:lang w:bidi="ar-SA"/>
        </w:rPr>
        <w:br w:type="page"/>
      </w:r>
    </w:p>
    <w:p w14:paraId="00DFC094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甲方：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       </w:t>
      </w:r>
    </w:p>
    <w:p w14:paraId="00599472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乙方：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u w:val="single"/>
        </w:rPr>
        <w:t xml:space="preserve">              </w:t>
      </w:r>
    </w:p>
    <w:p w14:paraId="4150731E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根据《中华人民共和国政府采购法》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eastAsia="zh-CN"/>
        </w:rPr>
        <w:t>、《中华人民共和国民法典》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等法律法规，甲方通过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 w:eastAsia="zh-CN"/>
        </w:rPr>
        <w:t>组织竞争性磋商活动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，选定乙方为成交单位。甲、乙双方在平等基础上协商一致，达成如下合同条款：</w:t>
      </w:r>
      <w:bookmarkStart w:id="0" w:name="_GoBack"/>
      <w:bookmarkEnd w:id="0"/>
    </w:p>
    <w:p w14:paraId="2F1B96D0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一、合同内容</w:t>
      </w:r>
    </w:p>
    <w:tbl>
      <w:tblPr>
        <w:tblStyle w:val="4"/>
        <w:tblW w:w="8782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2360"/>
        <w:gridCol w:w="1210"/>
        <w:gridCol w:w="1193"/>
        <w:gridCol w:w="1998"/>
        <w:gridCol w:w="1150"/>
      </w:tblGrid>
      <w:tr w14:paraId="7594C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871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A180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color w:val="000000"/>
                <w:lang w:val="en-US" w:eastAsia="zh-CN" w:bidi="ar"/>
              </w:rPr>
              <w:t>序号</w:t>
            </w:r>
          </w:p>
        </w:tc>
        <w:tc>
          <w:tcPr>
            <w:tcW w:w="236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8D92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color w:val="000000"/>
                <w:lang w:val="en-US" w:eastAsia="zh-CN" w:bidi="ar"/>
              </w:rPr>
              <w:t>名称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CC1C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eastAsia"/>
                <w:color w:val="000000"/>
                <w:lang w:val="en-US" w:eastAsia="zh-CN" w:bidi="ar"/>
              </w:rPr>
              <w:t>数量</w:t>
            </w:r>
          </w:p>
        </w:tc>
        <w:tc>
          <w:tcPr>
            <w:tcW w:w="1193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B55E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color w:val="000000"/>
                <w:lang w:val="en-US" w:eastAsia="zh-CN" w:bidi="ar"/>
              </w:rPr>
            </w:pPr>
            <w:r>
              <w:rPr>
                <w:rStyle w:val="7"/>
                <w:color w:val="000000"/>
                <w:lang w:val="en-US" w:eastAsia="zh-CN" w:bidi="ar"/>
              </w:rPr>
              <w:t>单位</w:t>
            </w:r>
          </w:p>
        </w:tc>
        <w:tc>
          <w:tcPr>
            <w:tcW w:w="1998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415E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color w:val="000000"/>
                <w:lang w:val="en-US" w:eastAsia="zh-CN" w:bidi="ar"/>
              </w:rPr>
            </w:pPr>
            <w:r>
              <w:rPr>
                <w:rStyle w:val="7"/>
                <w:color w:val="000000"/>
                <w:lang w:val="en-US" w:eastAsia="zh-CN" w:bidi="ar"/>
              </w:rPr>
              <w:t>投标单价（元）</w:t>
            </w: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3126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color w:val="000000"/>
                <w:lang w:val="en-US" w:eastAsia="zh-CN" w:bidi="ar"/>
              </w:rPr>
            </w:pPr>
            <w:r>
              <w:rPr>
                <w:rStyle w:val="7"/>
                <w:color w:val="000000"/>
                <w:lang w:val="en-US" w:eastAsia="zh-CN" w:bidi="ar"/>
              </w:rPr>
              <w:t>合计（元）</w:t>
            </w:r>
          </w:p>
        </w:tc>
      </w:tr>
      <w:tr w14:paraId="5AFF3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8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A215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color w:val="000000"/>
                <w:lang w:val="en-US" w:eastAsia="zh-CN" w:bidi="ar"/>
              </w:rPr>
            </w:pPr>
          </w:p>
        </w:tc>
        <w:tc>
          <w:tcPr>
            <w:tcW w:w="23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0C0E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color w:val="000000"/>
                <w:lang w:val="en-US" w:eastAsia="zh-CN" w:bidi="ar"/>
              </w:rPr>
            </w:pPr>
          </w:p>
        </w:tc>
        <w:tc>
          <w:tcPr>
            <w:tcW w:w="12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79B7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color w:val="000000"/>
                <w:lang w:val="en-US" w:eastAsia="zh-CN" w:bidi="ar"/>
              </w:rPr>
            </w:pPr>
          </w:p>
        </w:tc>
        <w:tc>
          <w:tcPr>
            <w:tcW w:w="119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0D01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color w:val="000000"/>
                <w:lang w:val="en-US" w:eastAsia="zh-CN" w:bidi="ar"/>
              </w:rPr>
            </w:pPr>
          </w:p>
        </w:tc>
        <w:tc>
          <w:tcPr>
            <w:tcW w:w="199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AD55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color w:val="000000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2BD2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color w:val="000000"/>
                <w:lang w:val="en-US" w:eastAsia="zh-CN" w:bidi="ar"/>
              </w:rPr>
            </w:pPr>
          </w:p>
        </w:tc>
      </w:tr>
      <w:tr w14:paraId="21BFA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8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47B7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color w:val="000000"/>
                <w:lang w:val="en-US" w:eastAsia="zh-CN" w:bidi="ar"/>
              </w:rPr>
            </w:pPr>
          </w:p>
        </w:tc>
        <w:tc>
          <w:tcPr>
            <w:tcW w:w="23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A249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color w:val="000000"/>
                <w:lang w:val="en-US" w:eastAsia="zh-CN" w:bidi="ar"/>
              </w:rPr>
            </w:pPr>
          </w:p>
        </w:tc>
        <w:tc>
          <w:tcPr>
            <w:tcW w:w="12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B66F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color w:val="000000"/>
                <w:lang w:val="en-US" w:eastAsia="zh-CN" w:bidi="ar"/>
              </w:rPr>
            </w:pPr>
          </w:p>
        </w:tc>
        <w:tc>
          <w:tcPr>
            <w:tcW w:w="119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4299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color w:val="000000"/>
                <w:lang w:val="en-US" w:eastAsia="zh-CN" w:bidi="ar"/>
              </w:rPr>
            </w:pPr>
          </w:p>
        </w:tc>
        <w:tc>
          <w:tcPr>
            <w:tcW w:w="199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0664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color w:val="000000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B52E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color w:val="000000"/>
                <w:lang w:val="en-US" w:eastAsia="zh-CN" w:bidi="ar"/>
              </w:rPr>
            </w:pPr>
          </w:p>
        </w:tc>
      </w:tr>
      <w:tr w14:paraId="6605B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8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36E3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color w:val="000000"/>
                <w:lang w:val="en-US" w:eastAsia="zh-CN" w:bidi="ar"/>
              </w:rPr>
            </w:pPr>
          </w:p>
        </w:tc>
        <w:tc>
          <w:tcPr>
            <w:tcW w:w="236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8361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color w:val="000000"/>
                <w:lang w:val="en-US" w:eastAsia="zh-CN" w:bidi="ar"/>
              </w:rPr>
            </w:pPr>
          </w:p>
        </w:tc>
        <w:tc>
          <w:tcPr>
            <w:tcW w:w="12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3163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color w:val="000000"/>
                <w:lang w:val="en-US" w:eastAsia="zh-CN" w:bidi="ar"/>
              </w:rPr>
            </w:pPr>
          </w:p>
        </w:tc>
        <w:tc>
          <w:tcPr>
            <w:tcW w:w="119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A993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color w:val="000000"/>
                <w:lang w:val="en-US" w:eastAsia="zh-CN" w:bidi="ar"/>
              </w:rPr>
            </w:pPr>
          </w:p>
        </w:tc>
        <w:tc>
          <w:tcPr>
            <w:tcW w:w="199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AC76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color w:val="000000"/>
                <w:lang w:val="en-US" w:eastAsia="zh-CN" w:bidi="ar"/>
              </w:rPr>
            </w:pPr>
          </w:p>
        </w:tc>
        <w:tc>
          <w:tcPr>
            <w:tcW w:w="115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2F21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color w:val="000000"/>
                <w:lang w:val="en-US" w:eastAsia="zh-CN" w:bidi="ar"/>
              </w:rPr>
            </w:pPr>
          </w:p>
        </w:tc>
      </w:tr>
      <w:tr w14:paraId="79932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5634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127E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color w:val="000000"/>
                <w:lang w:val="en-US" w:eastAsia="zh-CN" w:bidi="ar"/>
              </w:rPr>
            </w:pPr>
            <w:r>
              <w:rPr>
                <w:rStyle w:val="7"/>
                <w:color w:val="000000"/>
                <w:lang w:val="en-US" w:eastAsia="zh-CN" w:bidi="ar"/>
              </w:rPr>
              <w:t>总价（元）</w:t>
            </w:r>
          </w:p>
        </w:tc>
        <w:tc>
          <w:tcPr>
            <w:tcW w:w="3148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CC51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color w:val="000000"/>
                <w:lang w:val="en-US" w:eastAsia="zh-CN" w:bidi="ar"/>
              </w:rPr>
            </w:pPr>
          </w:p>
        </w:tc>
      </w:tr>
    </w:tbl>
    <w:p w14:paraId="51CAF662">
      <w:pPr>
        <w:kinsoku w:val="0"/>
        <w:spacing w:line="360" w:lineRule="auto"/>
        <w:ind w:left="420" w:leftChars="200" w:firstLine="120" w:firstLineChars="5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eastAsia="zh-CN"/>
        </w:rPr>
      </w:pPr>
    </w:p>
    <w:p w14:paraId="53E271DE">
      <w:pPr>
        <w:kinsoku w:val="0"/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eastAsia="zh-CN"/>
        </w:rPr>
        <w:t>本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乙方负责按以上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 w:eastAsia="zh-CN"/>
        </w:rPr>
        <w:t>清单内容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进行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，及时运到甲方指定交货地点，确保所有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eastAsia="zh-CN"/>
        </w:rPr>
        <w:t>产品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达到最佳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eastAsia="zh-CN"/>
        </w:rPr>
        <w:t>使用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状态，做好售后服务工作。</w:t>
      </w:r>
    </w:p>
    <w:p w14:paraId="3FDDC92D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二、合同价格</w:t>
      </w:r>
    </w:p>
    <w:p w14:paraId="48725D7F">
      <w:pPr>
        <w:kinsoku w:val="0"/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合同总价：人民币大写：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元；¥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元。</w:t>
      </w:r>
    </w:p>
    <w:p w14:paraId="156ACF86">
      <w:pPr>
        <w:kinsoku w:val="0"/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合同总价包括：</w:t>
      </w:r>
      <w:r>
        <w:rPr>
          <w:rFonts w:hint="eastAsia" w:ascii="仿宋" w:hAnsi="仿宋" w:eastAsia="仿宋" w:cs="仿宋"/>
          <w:color w:val="000000"/>
          <w:szCs w:val="24"/>
          <w:highlight w:val="none"/>
          <w:lang w:bidi="ar-SA"/>
        </w:rPr>
        <w:t>包括但不限于产品费（含相关配件、附件）</w:t>
      </w:r>
      <w:r>
        <w:rPr>
          <w:rFonts w:hint="eastAsia" w:ascii="仿宋" w:hAnsi="仿宋" w:eastAsia="仿宋" w:cs="仿宋"/>
          <w:color w:val="000000"/>
          <w:szCs w:val="24"/>
          <w:highlight w:val="none"/>
          <w:lang w:eastAsia="zh-CN" w:bidi="ar-SA"/>
        </w:rPr>
        <w:t>、</w:t>
      </w:r>
      <w:r>
        <w:rPr>
          <w:rFonts w:hint="eastAsia" w:ascii="仿宋" w:hAnsi="仿宋" w:eastAsia="仿宋" w:cs="仿宋"/>
          <w:color w:val="000000"/>
          <w:szCs w:val="24"/>
          <w:highlight w:val="none"/>
          <w:lang w:val="en-US" w:eastAsia="zh-CN" w:bidi="ar-SA"/>
        </w:rPr>
        <w:t>运杂费（含保险）、</w:t>
      </w:r>
      <w:r>
        <w:rPr>
          <w:rFonts w:hint="eastAsia" w:ascii="仿宋" w:hAnsi="仿宋" w:eastAsia="仿宋" w:cs="仿宋"/>
          <w:color w:val="000000"/>
          <w:szCs w:val="24"/>
          <w:highlight w:val="none"/>
          <w:lang w:bidi="ar-SA"/>
        </w:rPr>
        <w:t>税金等其他一切相关费用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。合同总价不可变更，不受市场价变化的影响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eastAsia="zh-CN"/>
        </w:rPr>
        <w:t>。</w:t>
      </w:r>
    </w:p>
    <w:p w14:paraId="336555BA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款项支付</w:t>
      </w:r>
    </w:p>
    <w:p w14:paraId="148A0121">
      <w:pPr>
        <w:kinsoku w:val="0"/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/>
        </w:rPr>
        <w:t>。</w:t>
      </w:r>
    </w:p>
    <w:p w14:paraId="37CB9F12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四、交货条件</w:t>
      </w:r>
    </w:p>
    <w:p w14:paraId="6E3020F0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1、交货地点：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 w:eastAsia="zh-CN"/>
        </w:rPr>
        <w:t>采购人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指定地点。</w:t>
      </w:r>
    </w:p>
    <w:p w14:paraId="12B6C494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2、交货期：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  </w:t>
      </w:r>
    </w:p>
    <w:p w14:paraId="0392DC05">
      <w:pPr>
        <w:kinsoku w:val="0"/>
        <w:spacing w:line="360" w:lineRule="auto"/>
        <w:ind w:firstLine="600" w:firstLineChars="250"/>
        <w:rPr>
          <w:rFonts w:hint="default" w:ascii="仿宋" w:hAnsi="仿宋" w:eastAsia="仿宋" w:cs="仿宋"/>
          <w:bCs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u w:val="none"/>
          <w:lang w:val="en-US" w:eastAsia="zh-CN"/>
        </w:rPr>
        <w:t>3、质保期：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 w:eastAsia="zh-CN"/>
        </w:rPr>
        <w:t xml:space="preserve"> </w:t>
      </w:r>
    </w:p>
    <w:p w14:paraId="62F7C8E2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五、货物包装、运输：</w:t>
      </w:r>
    </w:p>
    <w:p w14:paraId="7F6B34FE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涉及的商品包装和快递包装，均应符合《商品包装政府采购需求标准（试行）》《快递包装政府采购需求标准（试行）》的要求，包装应适应于远距离运输、防潮、防震、防锈和防野蛮装卸，以确保货物安全无损运抵指定地点。</w:t>
      </w:r>
    </w:p>
    <w:p w14:paraId="00DF96E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before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除</w:t>
      </w:r>
      <w:r>
        <w:rPr>
          <w:rFonts w:hint="eastAsia" w:ascii="仿宋" w:hAnsi="仿宋" w:eastAsia="仿宋" w:cs="仿宋"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合同要求外</w:t>
      </w:r>
      <w:r>
        <w:rPr>
          <w:rFonts w:hint="eastAsia" w:ascii="仿宋" w:hAnsi="仿宋" w:eastAsia="仿宋" w:cs="仿宋"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另</w:t>
      </w:r>
      <w:r>
        <w:rPr>
          <w:rFonts w:hint="eastAsia" w:ascii="仿宋" w:hAnsi="仿宋" w:eastAsia="仿宋" w:cs="仿宋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有</w:t>
      </w:r>
      <w:r>
        <w:rPr>
          <w:rFonts w:hint="eastAsia" w:ascii="仿宋" w:hAnsi="仿宋" w:eastAsia="仿宋" w:cs="仿宋"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约</w:t>
      </w:r>
      <w:r>
        <w:rPr>
          <w:rFonts w:hint="eastAsia" w:ascii="仿宋" w:hAnsi="仿宋" w:eastAsia="仿宋" w:cs="仿宋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定</w:t>
      </w:r>
      <w:r>
        <w:rPr>
          <w:rFonts w:hint="eastAsia" w:ascii="仿宋" w:hAnsi="仿宋" w:eastAsia="仿宋" w:cs="仿宋"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仿宋" w:hAnsi="仿宋" w:eastAsia="仿宋" w:cs="仿宋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乙方负责办理将货物运抵本合同规定的交货地点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，并装卸、交付至甲方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的一切运输事项，相关费用应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包含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在合同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价款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中。</w:t>
      </w:r>
    </w:p>
    <w:p w14:paraId="0FD2F01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乙方在运输到达之前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eastAsia="zh-CN"/>
        </w:rPr>
        <w:t>应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提前通知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，并提示货物运输装卸的注意事项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eastAsia="zh-CN"/>
        </w:rPr>
        <w:t>，甲方配合乙方做好货物的接收工作。</w:t>
      </w:r>
    </w:p>
    <w:p w14:paraId="2D3F23F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before="0" w:beforeLines="0" w:line="360" w:lineRule="auto"/>
        <w:ind w:firstLine="480" w:firstLineChars="200"/>
        <w:textAlignment w:val="auto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4、 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</w:rPr>
        <w:t>如因包装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eastAsia="zh-CN"/>
        </w:rPr>
        <w:t>、运输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</w:rPr>
        <w:t>问题导致货物</w:t>
      </w:r>
      <w:r>
        <w:rPr>
          <w:rFonts w:hint="eastAsia" w:ascii="仿宋" w:hAnsi="仿宋" w:eastAsia="仿宋" w:cs="仿宋"/>
          <w:color w:val="000000" w:themeColor="text1"/>
          <w:kern w:val="2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损毁、丢失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</w:rPr>
        <w:t>或者品质下降，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</w:rPr>
        <w:t>有权要求降价、换货、拒收部分或整批货物，由此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eastAsia="zh-CN"/>
        </w:rPr>
        <w:t>产生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</w:rPr>
        <w:t>的费用和损失，均由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</w:rPr>
        <w:t>承担。</w:t>
      </w:r>
    </w:p>
    <w:p w14:paraId="4D1563D2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六、质量保证</w:t>
      </w:r>
    </w:p>
    <w:p w14:paraId="4E17D1F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before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、本合同下提供的货物应符合合同约定的品牌、规格型号、技术性能、配置、质量、数量等要求。质量要求不明确的，按照强制性国家标准履行；没有强制性国家标准的，按照推荐性国家标准履行；没有推荐性国家标准的，按照行业标准履行；没有国家标准、行业标准的，按照通常标准或者符合合同目的的特定标准履行。</w:t>
      </w:r>
    </w:p>
    <w:p w14:paraId="1EC401A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before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2、采用中华人民共和国法定计量单位。</w:t>
      </w:r>
    </w:p>
    <w:p w14:paraId="5D32204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before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3、乙方所提供的货物应符合国家有关安全、环保、卫生的规定。</w:t>
      </w:r>
    </w:p>
    <w:p w14:paraId="5033A8E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before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4、乙方应向甲方提交所提供货物的技术文件，包括相应的中文技术文件，如：产品目录、图纸、操作手册、使用说明、维护手册或服务指南等。上述文件应包装好随货物一同发运。</w:t>
      </w:r>
    </w:p>
    <w:p w14:paraId="126BEDA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before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七、验收及技术服务</w:t>
      </w:r>
    </w:p>
    <w:p w14:paraId="6FB44D9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before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1、验收</w:t>
      </w:r>
    </w:p>
    <w:p w14:paraId="5CC9368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before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由采购人和成交供应商共同对项目进行整体验收。</w:t>
      </w:r>
    </w:p>
    <w:p w14:paraId="0601AC0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before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1）产品到货后，应通知甲方清点验收。</w:t>
      </w:r>
    </w:p>
    <w:p w14:paraId="763E834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before="0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2）甲方根据合同要求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对产品进行验收、确认产品的规格、型号和数量。验收依据为本合同文本、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 w:eastAsia="zh-CN"/>
        </w:rPr>
        <w:t>磋商文件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eastAsia="zh-CN"/>
        </w:rPr>
        <w:t>响应文件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和国内相应的标准、规范。</w:t>
      </w:r>
    </w:p>
    <w:p w14:paraId="680ED8B4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）验收合格后，填写产品验收单，并向甲方提交产品所包含的所有资料，以便使用单位日后管理。</w:t>
      </w:r>
    </w:p>
    <w:p w14:paraId="14A4D0C9">
      <w:pPr>
        <w:spacing w:line="360" w:lineRule="auto"/>
        <w:ind w:firstLine="600" w:firstLineChars="25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、服务承诺：按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eastAsia="zh-CN"/>
        </w:rPr>
        <w:t>响应文件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中的服务承诺执行。</w:t>
      </w:r>
    </w:p>
    <w:p w14:paraId="7F51CD10">
      <w:pPr>
        <w:spacing w:line="360" w:lineRule="auto"/>
        <w:ind w:firstLine="600" w:firstLineChars="25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、乙方在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eastAsia="zh-CN"/>
        </w:rPr>
        <w:t>运输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中发生的任何安全事故与甲方无关，由乙方自行处理，并承担全部责任和经济损失；对于给甲方造成损失的，甲方有权要求乙方按实际损失承担赔偿责任。</w:t>
      </w:r>
    </w:p>
    <w:p w14:paraId="42E34CDB">
      <w:pPr>
        <w:tabs>
          <w:tab w:val="left" w:pos="5355"/>
        </w:tabs>
        <w:spacing w:line="360" w:lineRule="auto"/>
        <w:ind w:firstLine="504" w:firstLineChars="21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八、违约责任：</w:t>
      </w:r>
    </w:p>
    <w:p w14:paraId="5B4DD9CB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1、按《中华人民共和国政府采购法》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《中华人民共和国民法典》中的相关条款执行。</w:t>
      </w:r>
    </w:p>
    <w:p w14:paraId="5E924794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2、未按合同要求提供产品质量不能满足采购的技术要求，甲方有权终止合同，并保留追究乙方违约责任的权利。</w:t>
      </w:r>
    </w:p>
    <w:p w14:paraId="5D872CC9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3、乙方在接到甲方书面异议后，应在三个工作日内负责处理，否则视为默认甲方提出的异议和处理意见。</w:t>
      </w:r>
    </w:p>
    <w:p w14:paraId="6E41699D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4、因乙方原因不能交货的，乙方应向甲方赔偿全部货款的15%作为违约金；乙方不能按期交货的，每延期一天，须支付全部货款的0.5%作为赔偿金。产品质量问题违约的，除了按照迟延时间计算违约金外，另可以采取退货、换货等方式，由乙方承担一切费用。</w:t>
      </w:r>
    </w:p>
    <w:p w14:paraId="169A3E35">
      <w:pPr>
        <w:tabs>
          <w:tab w:val="left" w:pos="5355"/>
        </w:tabs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九、合同争议的解决：</w:t>
      </w:r>
    </w:p>
    <w:p w14:paraId="712CA78C">
      <w:pPr>
        <w:tabs>
          <w:tab w:val="left" w:pos="5355"/>
        </w:tabs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合同一经签订，不得随意变更、中止或终止。对确需变更、调整或者中止、终止合同的，应按规定履行相应的手续。</w:t>
      </w:r>
    </w:p>
    <w:p w14:paraId="48E93968">
      <w:pPr>
        <w:tabs>
          <w:tab w:val="left" w:pos="5355"/>
        </w:tabs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合同执行中发生争议的，甲、乙双方应协商解决，协商达不成一致时，可向甲方所在地人民法院提请诉讼。</w:t>
      </w:r>
    </w:p>
    <w:p w14:paraId="2B278065">
      <w:pPr>
        <w:tabs>
          <w:tab w:val="left" w:pos="5355"/>
        </w:tabs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十、其它事项</w:t>
      </w:r>
    </w:p>
    <w:p w14:paraId="406A6253">
      <w:pPr>
        <w:adjustRightInd w:val="0"/>
        <w:snapToGrid w:val="0"/>
        <w:spacing w:line="360" w:lineRule="auto"/>
        <w:ind w:firstLine="600" w:firstLineChars="25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1、甲、乙双方做为合同执行的主体，有义务及时完全履行合同。</w:t>
      </w:r>
    </w:p>
    <w:p w14:paraId="6F12154C">
      <w:pPr>
        <w:adjustRightInd w:val="0"/>
        <w:snapToGrid w:val="0"/>
        <w:spacing w:line="360" w:lineRule="auto"/>
        <w:ind w:firstLine="600" w:firstLineChars="25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2、按照本协议规定应该偿付的违约金、赔偿金和各种经济损失，应当在明确责任十天内，按照银行规定的结算办法付清，否则按逾期付款处理。</w:t>
      </w:r>
    </w:p>
    <w:p w14:paraId="0A413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3、合同未尽事宜，由甲、乙双方协商，协商方案作为本合同不可分割的组成部分，与本合同具有同等法律效力。</w:t>
      </w:r>
    </w:p>
    <w:p w14:paraId="697931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4、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eastAsia="zh-CN"/>
        </w:rPr>
        <w:t>磋商文件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和乙方的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eastAsia="zh-CN"/>
        </w:rPr>
        <w:t>响应文件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以及合同附件均为合同不可分割的部分。</w:t>
      </w:r>
    </w:p>
    <w:p w14:paraId="17776B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5、合同一式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 w:eastAsia="zh-CN"/>
        </w:rPr>
        <w:t>肆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份，甲方持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 w:eastAsia="zh-CN"/>
        </w:rPr>
        <w:t>贰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份、乙方执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 w:eastAsia="zh-CN"/>
        </w:rPr>
        <w:t>贰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份。各方签字盖章后生效，合同执行完毕自动失效。（合同的服务承诺长期有效）。</w:t>
      </w:r>
    </w:p>
    <w:p w14:paraId="4F03EB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6、因产品质量及售后服务、售后服务质量所造成的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 w:eastAsia="zh-CN"/>
        </w:rPr>
        <w:t>责任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，乙方负全部法律及经济责任。</w:t>
      </w:r>
    </w:p>
    <w:p w14:paraId="3FF76E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7、本“合同附件”附后：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eastAsia="zh-CN"/>
        </w:rPr>
        <w:t>采购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清单。</w:t>
      </w:r>
    </w:p>
    <w:p w14:paraId="5B7F8322">
      <w:pPr>
        <w:keepNext w:val="0"/>
        <w:keepLines w:val="0"/>
        <w:pageBreakBefore w:val="0"/>
        <w:widowControl w:val="0"/>
        <w:tabs>
          <w:tab w:val="left" w:pos="5355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8、使用单位收货、验货人员：____________  电话：_______________</w:t>
      </w:r>
    </w:p>
    <w:p w14:paraId="281B52A0">
      <w:pPr>
        <w:keepNext w:val="0"/>
        <w:keepLines w:val="0"/>
        <w:pageBreakBefore w:val="0"/>
        <w:widowControl w:val="0"/>
        <w:tabs>
          <w:tab w:val="left" w:pos="5355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eastAsia="zh-CN"/>
        </w:rPr>
        <w:t>十一、若其他未约定事项，双方签署相关补充协议。</w:t>
      </w:r>
    </w:p>
    <w:p w14:paraId="678C34A7">
      <w:pPr>
        <w:keepNext w:val="0"/>
        <w:keepLines w:val="0"/>
        <w:pageBreakBefore w:val="0"/>
        <w:widowControl w:val="0"/>
        <w:tabs>
          <w:tab w:val="left" w:pos="5355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textAlignment w:val="auto"/>
        <w:rPr>
          <w:rFonts w:hint="default" w:ascii="仿宋" w:hAnsi="仿宋" w:eastAsia="仿宋" w:cs="仿宋"/>
          <w:bCs/>
          <w:color w:val="000000"/>
          <w:sz w:val="24"/>
          <w:szCs w:val="24"/>
          <w:highlight w:val="none"/>
          <w:lang w:val="en-US" w:eastAsia="zh-CN"/>
        </w:rPr>
      </w:pPr>
    </w:p>
    <w:p w14:paraId="0AAA2190">
      <w:pPr>
        <w:keepNext w:val="0"/>
        <w:keepLines w:val="0"/>
        <w:pageBreakBefore w:val="0"/>
        <w:widowControl w:val="0"/>
        <w:tabs>
          <w:tab w:val="left" w:pos="5355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</w:p>
    <w:p w14:paraId="642FD55F">
      <w:pPr>
        <w:keepNext w:val="0"/>
        <w:keepLines w:val="0"/>
        <w:pageBreakBefore w:val="0"/>
        <w:widowControl w:val="0"/>
        <w:tabs>
          <w:tab w:val="left" w:pos="5355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</w:p>
    <w:p w14:paraId="0DEB2436">
      <w:pPr>
        <w:keepNext w:val="0"/>
        <w:keepLines w:val="0"/>
        <w:pageBreakBefore w:val="0"/>
        <w:widowControl w:val="0"/>
        <w:tabs>
          <w:tab w:val="left" w:pos="5355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</w:p>
    <w:p w14:paraId="652D43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 w:eastAsia="zh-CN"/>
        </w:rPr>
        <w:t>此页无正文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>…</w:t>
      </w:r>
    </w:p>
    <w:p w14:paraId="678F7AB8">
      <w:pP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 w:eastAsia="zh-CN"/>
        </w:rPr>
        <w:br w:type="page"/>
      </w:r>
    </w:p>
    <w:p w14:paraId="505B11FE">
      <w:pPr>
        <w:keepNext w:val="0"/>
        <w:keepLines w:val="0"/>
        <w:pageBreakBefore w:val="0"/>
        <w:widowControl w:val="0"/>
        <w:tabs>
          <w:tab w:val="left" w:pos="5355"/>
        </w:tabs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 w:eastAsia="zh-CN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0"/>
        <w:gridCol w:w="4410"/>
      </w:tblGrid>
      <w:tr w14:paraId="1DF2E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4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EEC6C">
            <w:pPr>
              <w:spacing w:line="360" w:lineRule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甲  方：</w:t>
            </w:r>
          </w:p>
        </w:tc>
        <w:tc>
          <w:tcPr>
            <w:tcW w:w="4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B7DD3">
            <w:pPr>
              <w:spacing w:line="360" w:lineRule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乙  方：</w:t>
            </w:r>
          </w:p>
        </w:tc>
      </w:tr>
      <w:tr w14:paraId="10C7C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4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4EB40">
            <w:pPr>
              <w:spacing w:line="360" w:lineRule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 xml:space="preserve">地　址： </w:t>
            </w:r>
          </w:p>
        </w:tc>
        <w:tc>
          <w:tcPr>
            <w:tcW w:w="4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3A6C9">
            <w:pPr>
              <w:spacing w:line="360" w:lineRule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地　址：</w:t>
            </w:r>
          </w:p>
        </w:tc>
      </w:tr>
      <w:tr w14:paraId="215EF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4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674FF">
            <w:pPr>
              <w:spacing w:line="360" w:lineRule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代理人：　</w:t>
            </w:r>
          </w:p>
        </w:tc>
        <w:tc>
          <w:tcPr>
            <w:tcW w:w="4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108CC">
            <w:pPr>
              <w:tabs>
                <w:tab w:val="left" w:pos="5355"/>
              </w:tabs>
              <w:spacing w:line="360" w:lineRule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代理人：</w:t>
            </w:r>
          </w:p>
        </w:tc>
      </w:tr>
      <w:tr w14:paraId="6F078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4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9E503">
            <w:pPr>
              <w:spacing w:line="360" w:lineRule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联系电话：</w:t>
            </w:r>
          </w:p>
        </w:tc>
        <w:tc>
          <w:tcPr>
            <w:tcW w:w="4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08A3F">
            <w:pPr>
              <w:spacing w:line="360" w:lineRule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联系电话：</w:t>
            </w:r>
          </w:p>
        </w:tc>
      </w:tr>
      <w:tr w14:paraId="4898A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4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B5FAC">
            <w:pPr>
              <w:spacing w:line="360" w:lineRule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开户行：</w:t>
            </w:r>
          </w:p>
        </w:tc>
        <w:tc>
          <w:tcPr>
            <w:tcW w:w="4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FAA02">
            <w:pPr>
              <w:tabs>
                <w:tab w:val="left" w:pos="5355"/>
              </w:tabs>
              <w:spacing w:line="360" w:lineRule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 xml:space="preserve">开户行： </w:t>
            </w:r>
          </w:p>
        </w:tc>
      </w:tr>
      <w:tr w14:paraId="678CC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4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297D8">
            <w:pPr>
              <w:spacing w:line="360" w:lineRule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 xml:space="preserve"> 账号：</w:t>
            </w:r>
          </w:p>
        </w:tc>
        <w:tc>
          <w:tcPr>
            <w:tcW w:w="4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003C6">
            <w:pPr>
              <w:tabs>
                <w:tab w:val="left" w:pos="5355"/>
              </w:tabs>
              <w:spacing w:line="360" w:lineRule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账号：</w:t>
            </w:r>
          </w:p>
        </w:tc>
      </w:tr>
      <w:tr w14:paraId="699C8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4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CBA6E7">
            <w:pPr>
              <w:spacing w:line="360" w:lineRule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日期：   年    月   日</w:t>
            </w:r>
          </w:p>
        </w:tc>
        <w:tc>
          <w:tcPr>
            <w:tcW w:w="4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1048B">
            <w:pPr>
              <w:spacing w:line="360" w:lineRule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日期：   年    月   日</w:t>
            </w:r>
          </w:p>
        </w:tc>
      </w:tr>
    </w:tbl>
    <w:p w14:paraId="18AB0E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8"/>
    <w:multiLevelType w:val="singleLevel"/>
    <w:tmpl w:val="00000008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135A37"/>
    <w:rsid w:val="1E085D8D"/>
    <w:rsid w:val="386C3059"/>
    <w:rsid w:val="55B13E82"/>
    <w:rsid w:val="6ACA583A"/>
    <w:rsid w:val="6E50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Ansi="Courier New"/>
      <w:kern w:val="2"/>
      <w:sz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6">
    <w:name w:val="NormalCharacter"/>
    <w:qFormat/>
    <w:uiPriority w:val="0"/>
    <w:rPr>
      <w:rFonts w:ascii="宋体" w:hAnsi="Times New Roman" w:eastAsia="宋体" w:cs="Times New Roman"/>
      <w:sz w:val="24"/>
      <w:lang w:val="en-US" w:eastAsia="zh-CN" w:bidi="ar-SA"/>
    </w:rPr>
  </w:style>
  <w:style w:type="character" w:customStyle="1" w:styleId="7">
    <w:name w:val="font11"/>
    <w:basedOn w:val="5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2026-04-03T02:00:30Z</dcterms:created>
  <dc:creator>Administrator</dc:creator>
  <cp:lastModifiedBy>WPS_1710749217</cp:lastModifiedBy>
  <dcterms:modified xsi:type="dcterms:W3CDTF">2026-04-03T02:19:20Z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eyJoZGlkIjoiODJhMTI1ODQ0MWJkMDgzOGJkN2U5Y2EwMzU4YTFkY2IiLCJ1c2VySWQiOiIxNTg3MTU2NTg1In0=</vt:lpwstr>
  </property>
  <property fmtid="{D5CDD505-2E9C-101B-9397-08002B2CF9AE}" pid="4" name="ICV">
    <vt:lpwstr>ED534A919B6A44A08E9552C83B80E5CF_12</vt:lpwstr>
  </property>
</Properties>
</file>