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版本号：ZCTH2026-04-03720260427001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数字化城管监控配套运维项目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ZCTH2026-04-037</w:t>
      </w:r>
      <w:r>
        <w:br/>
      </w:r>
      <w:r>
        <w:br/>
      </w:r>
      <w:r>
        <w:br/>
      </w:r>
    </w:p>
    <w:p>
      <w:pPr>
        <w:pStyle w:val="null3"/>
        <w:jc w:val="center"/>
        <w:outlineLvl w:val="2"/>
      </w:pPr>
      <w:r>
        <w:rPr>
          <w:rFonts w:ascii="仿宋_GB2312" w:hAnsi="仿宋_GB2312" w:cs="仿宋_GB2312" w:eastAsia="仿宋_GB2312"/>
          <w:sz w:val="28"/>
          <w:b/>
        </w:rPr>
        <w:t>西安市城市管理综合行政执法支队灞桥大队</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西安市城市管理综合行政执法支队灞桥大队</w:t>
      </w:r>
      <w:r>
        <w:rPr>
          <w:rFonts w:ascii="仿宋_GB2312" w:hAnsi="仿宋_GB2312" w:cs="仿宋_GB2312" w:eastAsia="仿宋_GB2312"/>
        </w:rPr>
        <w:t>委托，拟对</w:t>
      </w:r>
      <w:r>
        <w:rPr>
          <w:rFonts w:ascii="仿宋_GB2312" w:hAnsi="仿宋_GB2312" w:cs="仿宋_GB2312" w:eastAsia="仿宋_GB2312"/>
        </w:rPr>
        <w:t>数字化城管监控配套运维项目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ZCTH2026-04-037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数字化城管监控配套运维项目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为保障该系统持续稳定高效运行，现拟通过采购专业化、集约化配套运维服务，并同步实施软硬件升级改造，构建覆盖视频采集、传输、存储、应用全流程的一体化运维保障体系，实现系统全生命周期高效管理。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4、税收缴纳证明：提供投标文件截止时间前一年内至少一个月已缴纳的任意税种凭据；依法免税的投标人应提供相关文件证明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6、承诺：提供具有履行本合同所必需的设备和专业技术能力的声明、参加采购活动前3年内在经营活动中没有重大违法记录的书面承诺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西安市城市管理综合行政执法支队灞桥大队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西安市灞桥区纺园三路599号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胡中慧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15091753740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黄静宜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代理服务费收费标准：本项目招标代理服务费按定额柒仟元整收取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西安市城市管理综合行政执法支队灞桥大队</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西安市城市管理综合行政执法支队灞桥大队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西安市城市管理综合行政执法支队灞桥大队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满足采购人需求，符合国家相关行业标准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联系人：黄静宜</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为保障系统持续稳定高效运行，现拟通过采购专业化、集约化配套运维服务，并同步实施软硬件升级改造，构建覆盖视频采集、传输、存储、应用全流程的一体化运维保障体系，本项目预算为一年服务费。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数字化城管监控配套运维项目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标的名称：数字化城管监控配套运维项目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灞桥区数字化城管平台始建于</w:t>
            </w:r>
            <w:r>
              <w:rPr>
                <w:rFonts w:ascii="仿宋_GB2312" w:hAnsi="仿宋_GB2312" w:cs="仿宋_GB2312" w:eastAsia="仿宋_GB2312"/>
                <w:sz w:val="24"/>
              </w:rPr>
              <w:t>2013年，其中包括39路监控。为保障该系统持续稳定高效运行，现拟通过采购专业化、集约化配套运维服务，并同步实施软硬件升级改造，构建覆盖视频采集、传输、存储、应用全流程的一体化运维保障体系，实现系统全生命周期高效管理。</w:t>
            </w:r>
          </w:p>
          <w:p>
            <w:pPr>
              <w:pStyle w:val="null3"/>
              <w:ind w:firstLine="480"/>
            </w:pPr>
            <w:r>
              <w:rPr>
                <w:rFonts w:ascii="仿宋_GB2312" w:hAnsi="仿宋_GB2312" w:cs="仿宋_GB2312" w:eastAsia="仿宋_GB2312"/>
                <w:sz w:val="24"/>
              </w:rPr>
              <w:t>本项目采用总价包干模式，预算已统筹包含运维服务、软硬件升级、故障排查修复、性能优化、设备更换、数据上云、数据链路、前端监控点位电费等全部相关费用，不再另行支付其他费用。通过本项目实施，全面提升系统运行稳定性、视频在线率、图像完好率及数据传输成功率，确保满足城市管理精细化、智能化工作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jc w:val="both"/>
            </w:pPr>
            <w:r>
              <w:rPr>
                <w:rFonts w:ascii="仿宋_GB2312" w:hAnsi="仿宋_GB2312" w:cs="仿宋_GB2312" w:eastAsia="仿宋_GB2312"/>
                <w:sz w:val="24"/>
              </w:rPr>
              <w:t>供应商需对灞桥区范围内的数字化城管监控提供全面的配套运维服务，主要内容如下：</w:t>
            </w:r>
          </w:p>
          <w:p>
            <w:pPr>
              <w:pStyle w:val="null3"/>
              <w:ind w:firstLine="480"/>
              <w:jc w:val="both"/>
            </w:pPr>
            <w:r>
              <w:rPr>
                <w:rFonts w:ascii="仿宋_GB2312" w:hAnsi="仿宋_GB2312" w:cs="仿宋_GB2312" w:eastAsia="仿宋_GB2312"/>
                <w:sz w:val="24"/>
                <w:color w:val="000000"/>
              </w:rPr>
              <w:t>（一）全链路硬件设施运维。</w:t>
            </w:r>
            <w:r>
              <w:rPr>
                <w:rFonts w:ascii="仿宋_GB2312" w:hAnsi="仿宋_GB2312" w:cs="仿宋_GB2312" w:eastAsia="仿宋_GB2312"/>
                <w:sz w:val="24"/>
              </w:rPr>
              <w:t>负责辖区内前端感知设备、传输线路、中心机房及大屏显示系统的全生命周期运维。服务范围涵盖摄像机与立杆机箱、光纤与电源线路、机房服务器与环境设施以及大屏拼接与控制终端等。供应商需执行常态化巡检、清洁保养、性能调优及故障修复工作，确保前端图像清晰、传输链路通畅、机房环境达标及大屏显示无异常，保障硬件系统整体稳定运行。</w:t>
            </w:r>
          </w:p>
          <w:p>
            <w:pPr>
              <w:pStyle w:val="null3"/>
              <w:ind w:firstLine="480"/>
              <w:jc w:val="both"/>
            </w:pPr>
            <w:r>
              <w:rPr>
                <w:rFonts w:ascii="仿宋_GB2312" w:hAnsi="仿宋_GB2312" w:cs="仿宋_GB2312" w:eastAsia="仿宋_GB2312"/>
                <w:sz w:val="24"/>
                <w:color w:val="000000"/>
              </w:rPr>
              <w:t>（二）数据传输链路运维。</w:t>
            </w:r>
            <w:r>
              <w:rPr>
                <w:rFonts w:ascii="仿宋_GB2312" w:hAnsi="仿宋_GB2312" w:cs="仿宋_GB2312" w:eastAsia="仿宋_GB2312"/>
                <w:sz w:val="24"/>
              </w:rPr>
              <w:t>负责所有监控点位至中心平台的网络专线及通信链路的租赁与维护。保障数据传输的稳定性和高成功率，及时处理网络中断、延迟、丢包等故障，确保视频数据实时、完整地传输至指定平台。</w:t>
            </w:r>
          </w:p>
          <w:p>
            <w:pPr>
              <w:pStyle w:val="null3"/>
              <w:ind w:firstLine="480"/>
            </w:pPr>
            <w:r>
              <w:rPr>
                <w:rFonts w:ascii="仿宋_GB2312" w:hAnsi="仿宋_GB2312" w:cs="仿宋_GB2312" w:eastAsia="仿宋_GB2312"/>
                <w:sz w:val="24"/>
                <w:color w:val="000000"/>
              </w:rPr>
              <w:t>（三）视频管理平台维护。</w:t>
            </w:r>
            <w:r>
              <w:rPr>
                <w:rFonts w:ascii="仿宋_GB2312" w:hAnsi="仿宋_GB2312" w:cs="仿宋_GB2312" w:eastAsia="仿宋_GB2312"/>
                <w:sz w:val="24"/>
              </w:rPr>
              <w:t>负责视频管理平台的日常监控、配置管理、性能优化、漏洞修复、版本升级及故障处理。确保平台能够稳定接入和管理辖区内所有品牌的监控设备，保障视频流的正常调阅、回放及下载。</w:t>
            </w:r>
          </w:p>
          <w:p>
            <w:pPr>
              <w:pStyle w:val="null3"/>
              <w:ind w:firstLine="480"/>
            </w:pPr>
            <w:r>
              <w:rPr>
                <w:rFonts w:ascii="仿宋_GB2312" w:hAnsi="仿宋_GB2312" w:cs="仿宋_GB2312" w:eastAsia="仿宋_GB2312"/>
                <w:sz w:val="24"/>
                <w:color w:val="000000"/>
              </w:rPr>
              <w:t>（四）云资源租赁与运维。</w:t>
            </w:r>
            <w:r>
              <w:rPr>
                <w:rFonts w:ascii="仿宋_GB2312" w:hAnsi="仿宋_GB2312" w:cs="仿宋_GB2312" w:eastAsia="仿宋_GB2312"/>
                <w:sz w:val="24"/>
              </w:rPr>
              <w:t>提供项目所需云资源服务，并负责云环境的配置、监控与弹性扩展。确保云资源满足视频存储周期（不少于</w:t>
            </w:r>
            <w:r>
              <w:rPr>
                <w:rFonts w:ascii="仿宋_GB2312" w:hAnsi="仿宋_GB2312" w:cs="仿宋_GB2312" w:eastAsia="仿宋_GB2312"/>
                <w:sz w:val="24"/>
              </w:rPr>
              <w:t>90天）及计算性能需求，保障数据的高可用性与容灾备份。</w:t>
            </w:r>
          </w:p>
          <w:p>
            <w:pPr>
              <w:pStyle w:val="null3"/>
              <w:ind w:firstLine="480"/>
            </w:pPr>
            <w:r>
              <w:rPr>
                <w:rFonts w:ascii="仿宋_GB2312" w:hAnsi="仿宋_GB2312" w:cs="仿宋_GB2312" w:eastAsia="仿宋_GB2312"/>
                <w:sz w:val="24"/>
                <w:color w:val="000000"/>
              </w:rPr>
              <w:t>（五）系统集成与接口服务。</w:t>
            </w:r>
            <w:r>
              <w:rPr>
                <w:rFonts w:ascii="仿宋_GB2312" w:hAnsi="仿宋_GB2312" w:cs="仿宋_GB2312" w:eastAsia="仿宋_GB2312"/>
                <w:sz w:val="24"/>
              </w:rPr>
              <w:t>负责系统与上级数字城管平台、雪亮工程或其他相关业务系统的接口维护，确保信令交互与视频流转发顺畅，配合采购人进行系统升级、功能扩展或联调测试，确保系统间的互联互通。</w:t>
            </w:r>
          </w:p>
          <w:p>
            <w:pPr>
              <w:pStyle w:val="null3"/>
              <w:ind w:firstLine="480"/>
            </w:pPr>
            <w:r>
              <w:rPr>
                <w:rFonts w:ascii="仿宋_GB2312" w:hAnsi="仿宋_GB2312" w:cs="仿宋_GB2312" w:eastAsia="仿宋_GB2312"/>
                <w:sz w:val="24"/>
                <w:color w:val="000000"/>
              </w:rPr>
              <w:t>（六）监控点位调整与优化服务。根据城市管理工作实际需求，对现有监控点位或设备进行动态调整与优化。对监控效果不佳、覆盖盲区或位置不合理的点位进行现场勘察、点位迁移、角度调整或设备更换</w:t>
            </w:r>
            <w:r>
              <w:rPr>
                <w:rFonts w:ascii="仿宋_GB2312" w:hAnsi="仿宋_GB2312" w:cs="仿宋_GB2312" w:eastAsia="仿宋_GB2312"/>
                <w:sz w:val="24"/>
                <w:color w:val="000000"/>
              </w:rPr>
              <w:t>/升级。</w:t>
            </w:r>
          </w:p>
          <w:p>
            <w:pPr>
              <w:pStyle w:val="null3"/>
              <w:ind w:firstLine="480"/>
            </w:pPr>
            <w:r>
              <w:rPr>
                <w:rFonts w:ascii="仿宋_GB2312" w:hAnsi="仿宋_GB2312" w:cs="仿宋_GB2312" w:eastAsia="仿宋_GB2312"/>
                <w:sz w:val="24"/>
                <w:color w:val="000000"/>
              </w:rPr>
              <w:t>（七）前端点位供电保障与电费缴纳。中标供应商需负责本项目</w:t>
            </w:r>
            <w:r>
              <w:rPr>
                <w:rFonts w:ascii="仿宋_GB2312" w:hAnsi="仿宋_GB2312" w:cs="仿宋_GB2312" w:eastAsia="仿宋_GB2312"/>
                <w:sz w:val="24"/>
                <w:color w:val="000000"/>
              </w:rPr>
              <w:t>39路前端监控点位（含后续升级设备）运行所产生的全部电费缴纳工作。按时向电力部门或相关产权方缴</w:t>
            </w:r>
            <w:r>
              <w:rPr>
                <w:rFonts w:ascii="仿宋_GB2312" w:hAnsi="仿宋_GB2312" w:cs="仿宋_GB2312" w:eastAsia="仿宋_GB2312"/>
                <w:sz w:val="24"/>
              </w:rPr>
              <w:t>纳费用，确保不因欠费导致断电、断网；负责所有供电线路、配电箱、空开、防雷器等电力设施的巡检、维护与故障修复。</w:t>
            </w:r>
          </w:p>
          <w:p>
            <w:pPr>
              <w:pStyle w:val="null3"/>
              <w:ind w:firstLine="480"/>
            </w:pPr>
            <w:r>
              <w:rPr>
                <w:rFonts w:ascii="仿宋_GB2312" w:hAnsi="仿宋_GB2312" w:cs="仿宋_GB2312" w:eastAsia="仿宋_GB2312"/>
                <w:sz w:val="24"/>
                <w:color w:val="000000"/>
              </w:rPr>
              <w:t>（八）资产管理与档案更新。</w:t>
            </w:r>
            <w:r>
              <w:rPr>
                <w:rFonts w:ascii="仿宋_GB2312" w:hAnsi="仿宋_GB2312" w:cs="仿宋_GB2312" w:eastAsia="仿宋_GB2312"/>
                <w:sz w:val="24"/>
              </w:rPr>
              <w:t>建立常态化巡检机制，提交详细的巡检报告、故障处理记录、系统运行月报</w:t>
            </w:r>
            <w:r>
              <w:rPr>
                <w:rFonts w:ascii="仿宋_GB2312" w:hAnsi="仿宋_GB2312" w:cs="仿宋_GB2312" w:eastAsia="仿宋_GB2312"/>
                <w:sz w:val="24"/>
              </w:rPr>
              <w:t>/季报及云资源使用报告等；建立完善的设备台账，对运维过程中的设备增减、位置变更、IP地址分配等进行动态更新，每季度向采购人提交最新的资产清单，确保账实相符。</w:t>
            </w:r>
          </w:p>
          <w:tbl>
            <w:tblPr>
              <w:tblInd w:type="dxa" w:w="210"/>
              <w:tblBorders>
                <w:top w:val="none" w:color="000000" w:sz="4"/>
                <w:left w:val="none" w:color="000000" w:sz="4"/>
                <w:bottom w:val="none" w:color="000000" w:sz="4"/>
                <w:right w:val="none" w:color="000000" w:sz="4"/>
                <w:insideH w:val="none"/>
                <w:insideV w:val="none"/>
              </w:tblBorders>
            </w:tblPr>
            <w:tblGrid>
              <w:gridCol w:w="272"/>
              <w:gridCol w:w="2281"/>
            </w:tblGrid>
            <w:tr>
              <w:tc>
                <w:tcPr>
                  <w:tcW w:type="dxa" w:w="255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监控摄像头情况表</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点位名称</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纺新街与纺建路十字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堡子村转盘纺建路口</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电建四公司</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新医路与纺建路十字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中小企业局门口</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纺东街与纺一路丁字口</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纺正街与纺二路丁字口</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纺东街纺三路十字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纺正街与纺三路十字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华阳城</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纺八路彩陶路丁字路口</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纺东街与纺五路十字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坊东街职工医院</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智翔广场</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纺正街万兴广场</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五厂门口东侧广场</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纺七路与纺正街十字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纺西街南段邮政储蓄</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晶海乔记酒楼</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柳鸣路</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唐都医院门口</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浐灞新城十字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双塘路与水香路口</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鹿塬街综合批发市场</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水安路与咸宁东路十字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穆将王综合市场</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半引路大明宫建材市场</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半引路半坡博物馆</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纺园四路</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纺园六路</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庆华文化宫</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洪庆客又多超市北侧</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洪庆航天医院对面</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洪庆农贸综合市场</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思源商业街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神寺沟村</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水安路与张牛路十字</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狄寨街道办</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长乐东路与纺渭路十字</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pPr>
            <w:r>
              <w:rPr>
                <w:rFonts w:ascii="仿宋_GB2312" w:hAnsi="仿宋_GB2312" w:cs="仿宋_GB2312" w:eastAsia="仿宋_GB2312"/>
                <w:sz w:val="24"/>
                <w:color w:val="000000"/>
              </w:rPr>
              <w:t>（一）平台兼容性。</w:t>
            </w:r>
            <w:r>
              <w:rPr>
                <w:rFonts w:ascii="仿宋_GB2312" w:hAnsi="仿宋_GB2312" w:cs="仿宋_GB2312" w:eastAsia="仿宋_GB2312"/>
                <w:sz w:val="24"/>
              </w:rPr>
              <w:t>供应商应具备多品牌、多型号监控设备的兼容接入与统一管理能力，确保现有及未来可能接入的设备均能被有效管理。</w:t>
            </w:r>
          </w:p>
          <w:p>
            <w:pPr>
              <w:pStyle w:val="null3"/>
              <w:ind w:firstLine="480"/>
            </w:pPr>
            <w:r>
              <w:rPr>
                <w:rFonts w:ascii="仿宋_GB2312" w:hAnsi="仿宋_GB2312" w:cs="仿宋_GB2312" w:eastAsia="仿宋_GB2312"/>
                <w:sz w:val="24"/>
                <w:color w:val="000000"/>
              </w:rPr>
              <w:t>（二）云服务能力。</w:t>
            </w:r>
            <w:r>
              <w:rPr>
                <w:rFonts w:ascii="仿宋_GB2312" w:hAnsi="仿宋_GB2312" w:cs="仿宋_GB2312" w:eastAsia="仿宋_GB2312"/>
                <w:sz w:val="24"/>
              </w:rPr>
              <w:t>供应商应自有云服务或具备与主流云服务提供商的合作能力，能够根据项目需求提供稳定、安全、可弹性扩展的云资源服务。</w:t>
            </w:r>
          </w:p>
          <w:p>
            <w:pPr>
              <w:pStyle w:val="null3"/>
              <w:ind w:firstLine="480"/>
            </w:pPr>
            <w:r>
              <w:rPr>
                <w:rFonts w:ascii="仿宋_GB2312" w:hAnsi="仿宋_GB2312" w:cs="仿宋_GB2312" w:eastAsia="仿宋_GB2312"/>
                <w:sz w:val="24"/>
                <w:color w:val="000000"/>
              </w:rPr>
              <w:t>（三）网络安全。</w:t>
            </w:r>
            <w:r>
              <w:rPr>
                <w:rFonts w:ascii="仿宋_GB2312" w:hAnsi="仿宋_GB2312" w:cs="仿宋_GB2312" w:eastAsia="仿宋_GB2312"/>
                <w:sz w:val="24"/>
              </w:rPr>
              <w:t>运维服务需符合国家及行业网络安全等级保护相关要求。供应商需建立严格的数据保密制度，严禁泄露监控视频内容、系统账号密码及用户信息。</w:t>
            </w:r>
          </w:p>
          <w:p>
            <w:pPr>
              <w:pStyle w:val="null3"/>
            </w:pPr>
            <w:r>
              <w:rPr>
                <w:rFonts w:ascii="仿宋_GB2312" w:hAnsi="仿宋_GB2312" w:cs="仿宋_GB2312" w:eastAsia="仿宋_GB2312"/>
                <w:sz w:val="24"/>
                <w:color w:val="000000"/>
              </w:rPr>
              <w:t>（四）故障诊断。</w:t>
            </w:r>
            <w:r>
              <w:rPr>
                <w:rFonts w:ascii="仿宋_GB2312" w:hAnsi="仿宋_GB2312" w:cs="仿宋_GB2312" w:eastAsia="仿宋_GB2312"/>
                <w:sz w:val="24"/>
              </w:rPr>
              <w:t>具备专业的故障诊断工具和团队，能够快速定位并解决系统软硬件及网络层面的各类故障。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（一）人员配置</w:t>
            </w:r>
          </w:p>
          <w:p>
            <w:pPr>
              <w:pStyle w:val="null3"/>
              <w:ind w:firstLine="480"/>
            </w:pPr>
            <w:r>
              <w:rPr>
                <w:rFonts w:ascii="仿宋_GB2312" w:hAnsi="仿宋_GB2312" w:cs="仿宋_GB2312" w:eastAsia="仿宋_GB2312"/>
                <w:sz w:val="24"/>
              </w:rPr>
              <w:t>供应商应组建一支经验丰富、技术过硬的专职运维团队，并指定一名项目经理作为对接人。团队成员需具备信息系统运维相关资质，熟悉灞桥区地理环境。</w:t>
            </w:r>
          </w:p>
          <w:p>
            <w:pPr>
              <w:pStyle w:val="null3"/>
              <w:ind w:firstLine="480"/>
              <w:jc w:val="both"/>
            </w:pPr>
            <w:r>
              <w:rPr>
                <w:rFonts w:ascii="仿宋_GB2312" w:hAnsi="仿宋_GB2312" w:cs="仿宋_GB2312" w:eastAsia="仿宋_GB2312"/>
                <w:sz w:val="24"/>
                <w:color w:val="000000"/>
              </w:rPr>
              <w:t>（二）专业设备</w:t>
            </w:r>
          </w:p>
          <w:p>
            <w:pPr>
              <w:pStyle w:val="null3"/>
              <w:ind w:firstLine="480"/>
            </w:pPr>
            <w:r>
              <w:rPr>
                <w:rFonts w:ascii="仿宋_GB2312" w:hAnsi="仿宋_GB2312" w:cs="仿宋_GB2312" w:eastAsia="仿宋_GB2312"/>
                <w:sz w:val="24"/>
                <w:color w:val="000000"/>
              </w:rPr>
              <w:t>供应商须配备履行合同所必需的专用车辆、检测仪器、维修工具及备品备件，以确保运维工作的及时性和有效性。</w:t>
            </w:r>
          </w:p>
          <w:p>
            <w:pPr>
              <w:pStyle w:val="null3"/>
              <w:ind w:firstLine="480"/>
            </w:pPr>
            <w:r>
              <w:rPr>
                <w:rFonts w:ascii="仿宋_GB2312" w:hAnsi="仿宋_GB2312" w:cs="仿宋_GB2312" w:eastAsia="仿宋_GB2312"/>
                <w:sz w:val="24"/>
                <w:color w:val="000000"/>
              </w:rPr>
              <w:t>（三）服务标准</w:t>
            </w:r>
          </w:p>
          <w:p>
            <w:pPr>
              <w:pStyle w:val="null3"/>
              <w:ind w:firstLine="480"/>
            </w:pPr>
            <w:r>
              <w:rPr>
                <w:rFonts w:ascii="仿宋_GB2312" w:hAnsi="仿宋_GB2312" w:cs="仿宋_GB2312" w:eastAsia="仿宋_GB2312"/>
                <w:sz w:val="24"/>
              </w:rPr>
              <w:t>1.服务时间。提供7×24小时全天候故障响应服务（含节假日）。</w:t>
            </w:r>
          </w:p>
          <w:p>
            <w:pPr>
              <w:pStyle w:val="null3"/>
              <w:ind w:firstLine="480"/>
            </w:pPr>
            <w:r>
              <w:rPr>
                <w:rFonts w:ascii="仿宋_GB2312" w:hAnsi="仿宋_GB2312" w:cs="仿宋_GB2312" w:eastAsia="仿宋_GB2312"/>
                <w:sz w:val="24"/>
              </w:rPr>
              <w:t>2.响应时效。接到故障报修后，应在30分钟内做出响应。对于一般故障，需在4小时内修复；对于重大故障，需在2小时内派员抵达现场，并在24小时内修复或提供应急替代方案；涉及基础开挖的需在3日内修复。</w:t>
            </w:r>
          </w:p>
          <w:p>
            <w:pPr>
              <w:pStyle w:val="null3"/>
              <w:ind w:firstLine="480"/>
            </w:pPr>
            <w:r>
              <w:rPr>
                <w:rFonts w:ascii="仿宋_GB2312" w:hAnsi="仿宋_GB2312" w:cs="仿宋_GB2312" w:eastAsia="仿宋_GB2312"/>
                <w:sz w:val="24"/>
              </w:rPr>
              <w:t>3.巡检频次。前端设备每月至少进行一次全面巡检；平台、网络系统及机房等每周进行一次例行检查。</w:t>
            </w:r>
          </w:p>
          <w:p>
            <w:pPr>
              <w:pStyle w:val="null3"/>
              <w:ind w:firstLine="480"/>
            </w:pPr>
            <w:r>
              <w:rPr>
                <w:rFonts w:ascii="仿宋_GB2312" w:hAnsi="仿宋_GB2312" w:cs="仿宋_GB2312" w:eastAsia="仿宋_GB2312"/>
                <w:sz w:val="24"/>
              </w:rPr>
              <w:t>4.重大活动保障。遇重大活动或检查时，需提供现场值守服务。</w:t>
            </w:r>
          </w:p>
          <w:p>
            <w:pPr>
              <w:pStyle w:val="null3"/>
              <w:ind w:firstLine="480"/>
              <w:jc w:val="both"/>
            </w:pPr>
            <w:r>
              <w:rPr>
                <w:rFonts w:ascii="仿宋_GB2312" w:hAnsi="仿宋_GB2312" w:cs="仿宋_GB2312" w:eastAsia="仿宋_GB2312"/>
                <w:sz w:val="24"/>
                <w:color w:val="000000"/>
              </w:rPr>
              <w:t>（四）服务衔接</w:t>
            </w:r>
          </w:p>
          <w:p>
            <w:pPr>
              <w:pStyle w:val="null3"/>
              <w:ind w:firstLine="480"/>
            </w:pPr>
            <w:r>
              <w:rPr>
                <w:rFonts w:ascii="仿宋_GB2312" w:hAnsi="仿宋_GB2312" w:cs="仿宋_GB2312" w:eastAsia="仿宋_GB2312"/>
                <w:sz w:val="24"/>
              </w:rPr>
              <w:t>为保障项目平稳过渡，中标供应商须自合同签订之日起，在采购人协调下与原服务单位完成全面交接，并无缝承接、全面落实本项目各项服务保障工作。本项目整体服务期两年。首年服务周期自合同签订之日起至</w:t>
            </w:r>
            <w:r>
              <w:rPr>
                <w:rFonts w:ascii="仿宋_GB2312" w:hAnsi="仿宋_GB2312" w:cs="仿宋_GB2312" w:eastAsia="仿宋_GB2312"/>
                <w:sz w:val="24"/>
              </w:rPr>
              <w:t>2027 年 8 月 31 日止。首年服务期满后，进行综合评估后决定是否续签合同。</w:t>
            </w:r>
          </w:p>
          <w:p>
            <w:pPr>
              <w:pStyle w:val="null3"/>
              <w:ind w:firstLine="480"/>
            </w:pPr>
            <w:r>
              <w:rPr>
                <w:rFonts w:ascii="仿宋_GB2312" w:hAnsi="仿宋_GB2312" w:cs="仿宋_GB2312" w:eastAsia="仿宋_GB2312"/>
                <w:sz w:val="24"/>
              </w:rPr>
              <w:t>各投标人须对本项目全部服务内容、服务周期及交接要求作出完整履约承诺，并单独提交加盖公章的书面承诺书。</w:t>
            </w:r>
          </w:p>
          <w:p>
            <w:pPr>
              <w:pStyle w:val="null3"/>
              <w:ind w:firstLine="480"/>
              <w:jc w:val="both"/>
            </w:pPr>
            <w:r>
              <w:rPr>
                <w:rFonts w:ascii="仿宋_GB2312" w:hAnsi="仿宋_GB2312" w:cs="仿宋_GB2312" w:eastAsia="仿宋_GB2312"/>
                <w:sz w:val="24"/>
                <w:color w:val="000000"/>
              </w:rPr>
              <w:t>（五）核心考核指标</w:t>
            </w:r>
          </w:p>
          <w:p>
            <w:pPr>
              <w:pStyle w:val="null3"/>
              <w:ind w:firstLine="480"/>
            </w:pPr>
            <w:r>
              <w:rPr>
                <w:rFonts w:ascii="仿宋_GB2312" w:hAnsi="仿宋_GB2312" w:cs="仿宋_GB2312" w:eastAsia="仿宋_GB2312"/>
                <w:sz w:val="24"/>
              </w:rPr>
              <w:t>1.视频质量指标。视频在线率≥95%（按月度平均在线时长统计，不含计划维护、断电、网络割接等经采购人书面确认的非运维因素），图像完好率≥95%（图像需无遮挡、无抖动、无偏色，字符叠加信息准确完整。因外部因素导致的异常，经采购人书面确认后不计入考核），实时预览与存储主码流分辨率均≥1080p（1920×1080），帧率均≥25fps（画面流畅、无卡顿、无花屏），低照度需满足星光级成像标准（夜间画面清晰可见，无明显噪点）。</w:t>
            </w:r>
          </w:p>
          <w:p>
            <w:pPr>
              <w:pStyle w:val="null3"/>
              <w:ind w:firstLine="480"/>
            </w:pPr>
            <w:r>
              <w:rPr>
                <w:rFonts w:ascii="仿宋_GB2312" w:hAnsi="仿宋_GB2312" w:cs="仿宋_GB2312" w:eastAsia="仿宋_GB2312"/>
                <w:sz w:val="24"/>
              </w:rPr>
              <w:t>2.数据存储与性能指标。图像录像完整率≥99%，存储周期需满足不少于90天（存储期间无丢帧、无断录），云存储数据持久性≥99.9999%。</w:t>
            </w:r>
          </w:p>
          <w:p>
            <w:pPr>
              <w:pStyle w:val="null3"/>
              <w:ind w:firstLine="480"/>
            </w:pPr>
            <w:r>
              <w:rPr>
                <w:rFonts w:ascii="仿宋_GB2312" w:hAnsi="仿宋_GB2312" w:cs="仿宋_GB2312" w:eastAsia="仿宋_GB2312"/>
                <w:sz w:val="24"/>
              </w:rPr>
              <w:t>3.云资源服务指标。云平台服务可用性≥99.9%， API 接口请求成功率≥99%。</w:t>
            </w:r>
          </w:p>
          <w:p>
            <w:pPr>
              <w:pStyle w:val="null3"/>
              <w:ind w:firstLine="480"/>
            </w:pPr>
            <w:r>
              <w:rPr>
                <w:rFonts w:ascii="仿宋_GB2312" w:hAnsi="仿宋_GB2312" w:cs="仿宋_GB2312" w:eastAsia="仿宋_GB2312"/>
                <w:sz w:val="24"/>
              </w:rPr>
              <w:t>4.运维服务指标。故障修复及时率100%。</w:t>
            </w:r>
          </w:p>
          <w:p>
            <w:pPr>
              <w:pStyle w:val="null3"/>
              <w:ind w:firstLine="480"/>
            </w:pPr>
            <w:r>
              <w:rPr>
                <w:rFonts w:ascii="仿宋_GB2312" w:hAnsi="仿宋_GB2312" w:cs="仿宋_GB2312" w:eastAsia="仿宋_GB2312"/>
                <w:sz w:val="24"/>
              </w:rPr>
              <w:t>具体指标以最终合同约定为准。</w:t>
            </w:r>
          </w:p>
          <w:p>
            <w:pPr>
              <w:pStyle w:val="null3"/>
              <w:ind w:firstLine="480"/>
              <w:jc w:val="both"/>
            </w:pPr>
            <w:r>
              <w:rPr>
                <w:rFonts w:ascii="仿宋_GB2312" w:hAnsi="仿宋_GB2312" w:cs="仿宋_GB2312" w:eastAsia="仿宋_GB2312"/>
                <w:sz w:val="24"/>
                <w:color w:val="000000"/>
              </w:rPr>
              <w:t>（六）文档交付</w:t>
            </w:r>
          </w:p>
          <w:p>
            <w:pPr>
              <w:pStyle w:val="null3"/>
            </w:pPr>
            <w:r>
              <w:rPr>
                <w:rFonts w:ascii="仿宋_GB2312" w:hAnsi="仿宋_GB2312" w:cs="仿宋_GB2312" w:eastAsia="仿宋_GB2312"/>
                <w:sz w:val="24"/>
              </w:rPr>
              <w:t>每月</w:t>
            </w:r>
            <w:r>
              <w:rPr>
                <w:rFonts w:ascii="仿宋_GB2312" w:hAnsi="仿宋_GB2312" w:cs="仿宋_GB2312" w:eastAsia="仿宋_GB2312"/>
                <w:sz w:val="24"/>
              </w:rPr>
              <w:t>5日前提交上月《运维服务月报》（含故障统计、处理结果、云资源使用报表）；每季度提交《季度巡检报告》及《资产变动表》；服务期满提交《年度运维总结报告》。</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（一）服务期限</w:t>
            </w:r>
          </w:p>
          <w:p>
            <w:pPr>
              <w:pStyle w:val="null3"/>
              <w:ind w:firstLine="480"/>
              <w:jc w:val="both"/>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2年，合同一年一签，经采购人考核合格，可续签下一年合同。考核不合格则终止合同，不再续签。</w:t>
            </w:r>
          </w:p>
          <w:p>
            <w:pPr>
              <w:pStyle w:val="null3"/>
              <w:ind w:firstLine="480"/>
              <w:jc w:val="both"/>
            </w:pPr>
            <w:r>
              <w:rPr>
                <w:rFonts w:ascii="仿宋_GB2312" w:hAnsi="仿宋_GB2312" w:cs="仿宋_GB2312" w:eastAsia="仿宋_GB2312"/>
                <w:sz w:val="24"/>
              </w:rPr>
              <w:t>（二）款项结算</w:t>
            </w:r>
          </w:p>
          <w:p>
            <w:pPr>
              <w:pStyle w:val="null3"/>
            </w:pPr>
            <w:r>
              <w:rPr>
                <w:rFonts w:ascii="仿宋_GB2312" w:hAnsi="仿宋_GB2312" w:cs="仿宋_GB2312" w:eastAsia="仿宋_GB2312"/>
                <w:sz w:val="24"/>
              </w:rPr>
              <w:t>因系统格式不可更改，本项目结算方式为：合同款项将分期支付，每季度对项目质量进行考核，考核合格后支付当年合同价款的</w:t>
            </w:r>
            <w:r>
              <w:rPr>
                <w:rFonts w:ascii="仿宋_GB2312" w:hAnsi="仿宋_GB2312" w:cs="仿宋_GB2312" w:eastAsia="仿宋_GB2312"/>
                <w:sz w:val="24"/>
              </w:rPr>
              <w:t>25%。若考核不合格，采购人有权扣除相应比例的运维服务费，直至整改达标。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按“技术参数与性能指标”中实际需求配备相关设备设施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服务期2年，合同一年一签，经采购人考核合格，可续签下一年合同。考核不合格则终止合同，不再续签。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具体指标以最终合同约定为准。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每季度对项目质量进行考核，考核合格后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每季度对项目质量进行考核，考核合格后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每季度对项目质量进行考核，考核合格后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每季度对项目质量进行考核，考核合格后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甲乙双方如因履行本协议发生争议，应通过友好协商解决。协商不成，将争议提交甲方所在地的人民法院解决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 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供应商应提供健全的财务会计制度的证明材料，详见“特殊资格审查”中要求；</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 供应商承诺书.docx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3.依据财库〔2026〕2号文 一、异常低价审查触发标准（评审委员会必须启动审查） 出现以下任一情形，评审委员会立即启动异常低价投标（响应）审查：(1)投标（响应）报价＜全部通过符合性审查供应商报价平均值 ×65%（本项目设定：65%）(2)投标（响应）报价＜通过符合性审查的次低报价 ×60%（本项目设定：65%）(3)投标（响应）报价＜采购项目最高限价 ×65%（本项目设定：65%）（4）评审委员会专业判断：报价过低，可能影响产品 / 服务质量、不能诚信履约、存在履约风险的其他情形。 二、供应商举证说明要求（线上提交，时限30分钟） 提交时限：评审现场收到审查通知后，30 分钟内提交书面说明 + 完整证明材料（逾期未提交视为拒绝说明） 必须提交的举证材料清单（缺一不可）： （1）完整项目成本测算表：含原材料 / 设备、人工、制造 / 服务、运输、安装、税费、管理费、合理利润（利润率≥行业合理水平）的明细与依据 （2）降价合理性证明：批量采购、自有产能、长期供应链、自有专利 / 技术、集团集采、库存清仓等书面依据 （3）履约能力证明：同类项目近 12 个月成交 / 履约合同、质量检测报告、售后服务方案、人员 / 设备 / 产能保障承诺 （4）质量与诚信承诺：承诺满足采购需求、不偷工减料、不降低标准、按期履约、承担违约责任的书面文件 三、评审审查与判定规则 评审委员会综合核验：成本合理性、市场行情、同类项目价格、履约风险、材料真实性，形成书面审查意见 判定标准： 供应商拒绝说明、逾期未提交、材料造假、无法证明报价合理→直接判定无效投标 / 响应，不得推荐为中标 / 成交候选人 能完整举证、证明报价合理、无履约风险→保留有效资格，继续参与评审）</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投标文件初审审查</w:t>
            </w:r>
          </w:p>
        </w:tc>
        <w:tc>
          <w:tcPr>
            <w:tcW w:type="dxa" w:w="3322"/>
          </w:tcPr>
          <w:p>
            <w:pPr>
              <w:pStyle w:val="null3"/>
            </w:pPr>
            <w:r>
              <w:rPr>
                <w:rFonts w:ascii="仿宋_GB2312" w:hAnsi="仿宋_GB2312" w:cs="仿宋_GB2312" w:eastAsia="仿宋_GB2312"/>
              </w:rPr>
              <w:t>据招标文件规定，从投标文件的有效性、完整性和对投标文件的响应程度进行审查。出现下列情况之一者（但不限于），不得进入最终报价环节：（1）投标人的投标报价超过采购预算或最高限价的；（2）投标文件是否按招标文件 要求的数量、语言、计量单位、报价货币及签字盖章；（3）无投标有效期或有效期达不到招标文件要求的；（4）投标文件附加了采购人难以接受的条件或条款的；（5）投标文件未实质性响应招标文件要求的； （6）不符合法律、法规和招标文件中规定的其他实质性要求的</w:t>
            </w:r>
          </w:p>
        </w:tc>
        <w:tc>
          <w:tcPr>
            <w:tcW w:type="dxa" w:w="1661"/>
          </w:tcPr>
          <w:p>
            <w:pPr>
              <w:pStyle w:val="null3"/>
            </w:pPr>
            <w:r>
              <w:rPr>
                <w:rFonts w:ascii="仿宋_GB2312" w:hAnsi="仿宋_GB2312" w:cs="仿宋_GB2312" w:eastAsia="仿宋_GB2312"/>
              </w:rPr>
              <w:t>响应文件封面 对磋商文件及合同条款的承诺.docx 服务内容及服务邀请应答表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项目整体一体化运维管理方案</w:t>
            </w:r>
          </w:p>
        </w:tc>
        <w:tc>
          <w:tcPr>
            <w:tcW w:type="dxa" w:w="2492"/>
          </w:tcPr>
          <w:p>
            <w:pPr>
              <w:pStyle w:val="null3"/>
            </w:pPr>
            <w:r>
              <w:rPr>
                <w:rFonts w:ascii="仿宋_GB2312" w:hAnsi="仿宋_GB2312" w:cs="仿宋_GB2312" w:eastAsia="仿宋_GB2312"/>
              </w:rPr>
              <w:t>结合本项目 2013 年老旧平台、39 路监控点位现状，制定全生命周期一体化运维①总体思路、②工作目标、管理架构、③运行保障整体规划。 方案各项内容全面详细、阐述条理清晰、技术先进、配置合理，能有效保障本项目实施得 6 分，每缺一项扣 2 分，每有一项内容不完整、存在缺陷，扣 1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全链路硬件设施运维方案</w:t>
            </w:r>
          </w:p>
        </w:tc>
        <w:tc>
          <w:tcPr>
            <w:tcW w:type="dxa" w:w="2492"/>
          </w:tcPr>
          <w:p>
            <w:pPr>
              <w:pStyle w:val="null3"/>
            </w:pPr>
            <w:r>
              <w:rPr>
                <w:rFonts w:ascii="仿宋_GB2312" w:hAnsi="仿宋_GB2312" w:cs="仿宋_GB2312" w:eastAsia="仿宋_GB2312"/>
              </w:rPr>
              <w:t>包含前端摄像机、立杆机箱、电源、中心机房设备、大屏拼接显示系统等以及配套设施①常态化巡检、②清洁保养、③故障抢修、④老化整治、⑤性能调优全流程措施。 方案各项内容全面详细、阐述条理清晰、技术先进、配置合理，能有效保障本项目实施得 10 分，每缺一项扣 2 分，每有一项内容不完整、存在缺陷，扣1分，扣完为止。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数据传输及网络链路专项运维方案</w:t>
            </w:r>
          </w:p>
        </w:tc>
        <w:tc>
          <w:tcPr>
            <w:tcW w:type="dxa" w:w="2492"/>
          </w:tcPr>
          <w:p>
            <w:pPr>
              <w:pStyle w:val="null3"/>
            </w:pPr>
            <w:r>
              <w:rPr>
                <w:rFonts w:ascii="仿宋_GB2312" w:hAnsi="仿宋_GB2312" w:cs="仿宋_GB2312" w:eastAsia="仿宋_GB2312"/>
              </w:rPr>
              <w:t>包含①网络链路、②链路监测、③带宽保障、④卡顿丢包治理、⑤网络中断应急恢复、⑥传输成功率保障等专项措施，保障视频实时稳定传输。 方案各项内容全面详细、阐述条理清晰、技术先进、配置合理，能有效保障本项目实施得 6分，每缺一项扣 1 分，每有一项内容不完整、存在缺陷，扣0.5分，扣完为止。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视频管理平台运维及多品牌兼容方案</w:t>
            </w:r>
          </w:p>
        </w:tc>
        <w:tc>
          <w:tcPr>
            <w:tcW w:type="dxa" w:w="2492"/>
          </w:tcPr>
          <w:p>
            <w:pPr>
              <w:pStyle w:val="null3"/>
            </w:pPr>
            <w:r>
              <w:rPr>
                <w:rFonts w:ascii="仿宋_GB2312" w:hAnsi="仿宋_GB2312" w:cs="仿宋_GB2312" w:eastAsia="仿宋_GB2312"/>
              </w:rPr>
              <w:t>包含①平台日常值守、②配置管理、③漏洞修复、④版本升级、⑤故障处置、⑥多品牌监控设备兼容接入等管理措施。 方案各项内容全面详细、阐述条理清晰、技术先进、配置合理，能有效保障本项目实施得 6分，每缺一项扣 1 分，每有一项内容不完整、存在缺陷，扣0.5分，扣完为止。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云资源租赁及存储专项方案</w:t>
            </w:r>
          </w:p>
        </w:tc>
        <w:tc>
          <w:tcPr>
            <w:tcW w:type="dxa" w:w="2492"/>
          </w:tcPr>
          <w:p>
            <w:pPr>
              <w:pStyle w:val="null3"/>
            </w:pPr>
            <w:r>
              <w:rPr>
                <w:rFonts w:ascii="仿宋_GB2312" w:hAnsi="仿宋_GB2312" w:cs="仿宋_GB2312" w:eastAsia="仿宋_GB2312"/>
              </w:rPr>
              <w:t>视频录像存储≥90 天、录像完整率≥99%、云平台可用性≥99.9%、云存储数据持久性≥99.9999%，全部指标响应且云资源配置、容灾备份、弹性扩容方案完善得 7 分；基本响应得 4 分；内容不完整有缺陷得2分；关键指标不满足不得分。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前端点位运维及电费缴纳方案</w:t>
            </w:r>
          </w:p>
        </w:tc>
        <w:tc>
          <w:tcPr>
            <w:tcW w:type="dxa" w:w="2492"/>
          </w:tcPr>
          <w:p>
            <w:pPr>
              <w:pStyle w:val="null3"/>
            </w:pPr>
            <w:r>
              <w:rPr>
                <w:rFonts w:ascii="仿宋_GB2312" w:hAnsi="仿宋_GB2312" w:cs="仿宋_GB2312" w:eastAsia="仿宋_GB2312"/>
              </w:rPr>
              <w:t>①39路前端点位专项巡检、防雷供电维护、点位安全保障；②明确电费按期缴纳、防断电断网保障机制、欠费应急处置措施，两项内容齐全措施完善得5分；内容不完整有缺陷得3分；缺一项扣2.5分。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点位优化及软硬件升级改造方案</w:t>
            </w:r>
          </w:p>
        </w:tc>
        <w:tc>
          <w:tcPr>
            <w:tcW w:type="dxa" w:w="2492"/>
          </w:tcPr>
          <w:p>
            <w:pPr>
              <w:pStyle w:val="null3"/>
            </w:pPr>
            <w:r>
              <w:rPr>
                <w:rFonts w:ascii="仿宋_GB2312" w:hAnsi="仿宋_GB2312" w:cs="仿宋_GB2312" w:eastAsia="仿宋_GB2312"/>
              </w:rPr>
              <w:t>针对监控盲区、画面不佳、点位不合理设备，提供①现场勘察、②点位迁移、③角度调整、④老旧设备升级更换、⑤改造施工安全保障等完整措施。 方案各项内容全面详细、阐述条理清晰、技术先进、配置合理，能有效保障本项目实施得 5分，每缺一项扣 1 分，每有一项内容不完整、存在缺陷，扣0.5分，扣完为止。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系统集成及上下级平台互联互通方案</w:t>
            </w:r>
          </w:p>
        </w:tc>
        <w:tc>
          <w:tcPr>
            <w:tcW w:type="dxa" w:w="2492"/>
          </w:tcPr>
          <w:p>
            <w:pPr>
              <w:pStyle w:val="null3"/>
            </w:pPr>
            <w:r>
              <w:rPr>
                <w:rFonts w:ascii="仿宋_GB2312" w:hAnsi="仿宋_GB2312" w:cs="仿宋_GB2312" w:eastAsia="仿宋_GB2312"/>
              </w:rPr>
              <w:t>包含与上级数字城管平台、雪亮工程等业务系统接口维护、信令交互、视频转发、联调测试、协同对接保障措施，保障系统互联互通，方案完善得4分；基本满足得 2 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资产台账及档案管理方案</w:t>
            </w:r>
          </w:p>
        </w:tc>
        <w:tc>
          <w:tcPr>
            <w:tcW w:type="dxa" w:w="2492"/>
          </w:tcPr>
          <w:p>
            <w:pPr>
              <w:pStyle w:val="null3"/>
            </w:pPr>
            <w:r>
              <w:rPr>
                <w:rFonts w:ascii="仿宋_GB2312" w:hAnsi="仿宋_GB2312" w:cs="仿宋_GB2312" w:eastAsia="仿宋_GB2312"/>
              </w:rPr>
              <w:t>建立设备动态台账、资产变更管理、巡检记录、故障闭环管理、运维月报年报、资产变动清单定期报送机制，资料归档规范齐全得 4 分；基本建立得 2 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网络安全及视频数据保密管理方案</w:t>
            </w:r>
          </w:p>
        </w:tc>
        <w:tc>
          <w:tcPr>
            <w:tcW w:type="dxa" w:w="2492"/>
          </w:tcPr>
          <w:p>
            <w:pPr>
              <w:pStyle w:val="null3"/>
            </w:pPr>
            <w:r>
              <w:rPr>
                <w:rFonts w:ascii="仿宋_GB2312" w:hAnsi="仿宋_GB2312" w:cs="仿宋_GB2312" w:eastAsia="仿宋_GB2312"/>
              </w:rPr>
              <w:t>符合网络安全等级保护要求，含账号权限管理、视频数据保密、防泄露、安全审计、涉密管理措施，制度健全完善得 4分；基本满足得 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故障分级处置及应急抢修预案</w:t>
            </w:r>
          </w:p>
        </w:tc>
        <w:tc>
          <w:tcPr>
            <w:tcW w:type="dxa" w:w="2492"/>
          </w:tcPr>
          <w:p>
            <w:pPr>
              <w:pStyle w:val="null3"/>
            </w:pPr>
            <w:r>
              <w:rPr>
                <w:rFonts w:ascii="仿宋_GB2312" w:hAnsi="仿宋_GB2312" w:cs="仿宋_GB2312" w:eastAsia="仿宋_GB2312"/>
              </w:rPr>
              <w:t>具备故障分级分类处置流程、快速诊断排查机制、重大故障应急保障、突发故障抢修预案，内容完整得 2 分；有预案简单得 1 分；无预案不得分。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投标方案创新性</w:t>
            </w:r>
          </w:p>
        </w:tc>
        <w:tc>
          <w:tcPr>
            <w:tcW w:type="dxa" w:w="2492"/>
          </w:tcPr>
          <w:p>
            <w:pPr>
              <w:pStyle w:val="null3"/>
            </w:pPr>
            <w:r>
              <w:rPr>
                <w:rFonts w:ascii="仿宋_GB2312" w:hAnsi="仿宋_GB2312" w:cs="仿宋_GB2312" w:eastAsia="仿宋_GB2312"/>
              </w:rPr>
              <w:t>提出智能化运维、AI辅助诊断、节能降耗等创新方案，方案切实可行、能显著降低运维成本或提升效率的得2分；有一定创新思路的得1分；无创新不得分。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（1）项目经理具备相关资质及同类管理经验（1.5分）；技术负责人具备运维专业能力及相关工作经验（1.5分） （2）专职运维团队人员五名及以上且各人员具备相关专业资质、熟悉本地辖区环境得4分；有专职运维人员不足五名，且仅有部分人员具备相关专业资质，对本地辖区环境基本熟悉得2分；无专职运维团队或人员严重不足，无相关专业资质，不熟悉本地辖区环境不得分。（注：专职运维团队人员中不包含项目经理和技术负责人）</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运维车辆、专业工具及备品备件保障</w:t>
            </w:r>
          </w:p>
        </w:tc>
        <w:tc>
          <w:tcPr>
            <w:tcW w:type="dxa" w:w="2492"/>
          </w:tcPr>
          <w:p>
            <w:pPr>
              <w:pStyle w:val="null3"/>
            </w:pPr>
            <w:r>
              <w:rPr>
                <w:rFonts w:ascii="仿宋_GB2312" w:hAnsi="仿宋_GB2312" w:cs="仿宋_GB2312" w:eastAsia="仿宋_GB2312"/>
              </w:rPr>
              <w:t>配备专用运维车辆、专业检测仪器、维修工具、足额备品备件，满足日常运维及应急抢修需要，全部配备到位得3 分，内容不完整有缺陷得1分；未提供不得分。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服务响应时效保障</w:t>
            </w:r>
          </w:p>
        </w:tc>
        <w:tc>
          <w:tcPr>
            <w:tcW w:type="dxa" w:w="2492"/>
          </w:tcPr>
          <w:p>
            <w:pPr>
              <w:pStyle w:val="null3"/>
            </w:pPr>
            <w:r>
              <w:rPr>
                <w:rFonts w:ascii="仿宋_GB2312" w:hAnsi="仿宋_GB2312" w:cs="仿宋_GB2312" w:eastAsia="仿宋_GB2312"/>
              </w:rPr>
              <w:t>书面承诺响应采购全部服务要求：①7×24 小时服务、②30分钟响应、③一般故障4小时修复、④重大故障2小时到场24 小时修复，全部响应承诺到位得4分，缺一项扣1分。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新旧运维无缝交接方案</w:t>
            </w:r>
          </w:p>
        </w:tc>
        <w:tc>
          <w:tcPr>
            <w:tcW w:type="dxa" w:w="2492"/>
          </w:tcPr>
          <w:p>
            <w:pPr>
              <w:pStyle w:val="null3"/>
            </w:pPr>
            <w:r>
              <w:rPr>
                <w:rFonts w:ascii="仿宋_GB2312" w:hAnsi="仿宋_GB2312" w:cs="仿宋_GB2312" w:eastAsia="仿宋_GB2312"/>
              </w:rPr>
              <w:t>包含原服务商资料交接、设备台账移交、系统权限交接、人员进场衔接、过渡期平稳运行不中断，保障措施，方案完善无缝衔接得4 分；基本可行得 2 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提供投标人2020年1月1日以来类似项目业绩（以合同签订日期为准，并以加盖公章的合同关键页复印件为计分依据），每份合格业绩合同得2分，满分4分。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投标人具备有效证书：ISO9001 质量管理体系认证、ISO20000 信息技术服务管理体系认证、ISO27001 信息安全管理体系认证，每具备一项得1分，最高得3分。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运维质量考核与整改机制</w:t>
            </w:r>
          </w:p>
        </w:tc>
        <w:tc>
          <w:tcPr>
            <w:tcW w:type="dxa" w:w="2492"/>
          </w:tcPr>
          <w:p>
            <w:pPr>
              <w:pStyle w:val="null3"/>
            </w:pPr>
            <w:r>
              <w:rPr>
                <w:rFonts w:ascii="仿宋_GB2312" w:hAnsi="仿宋_GB2312" w:cs="仿宋_GB2312" w:eastAsia="仿宋_GB2312"/>
              </w:rPr>
              <w:t>投标人建立完善的运维质量考核体系：包含设备在线率、视频完好率、故障响应及时率等量化考核指标；制定问题分级整改流程、逾期整改约束机制；明确与采购人的季度对账通报机制，方案闭环可执行得4分；方案简单得2分；未建立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磋商报价得分=（磋商基准价/最后磋商报价）×价格权值×100 ，依据《政府采购竞争性磋商采购方式管理暂行办法》的有关规定，将满足竞争性磋商文件要求且第二次（最终）磋商报价最低的供应商的价格为磋商基准价，其价格分为满分。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详见附件：对磋商文件及合同条款的承诺.docx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