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1F808D">
      <w:pPr>
        <w:pStyle w:val="2"/>
        <w:keepNext w:val="0"/>
        <w:keepLines w:val="0"/>
        <w:jc w:val="center"/>
        <w:rPr>
          <w:rFonts w:hint="eastAsia" w:ascii="宋体" w:hAnsi="宋体" w:eastAsia="宋体" w:cs="宋体"/>
          <w:sz w:val="30"/>
          <w:szCs w:val="30"/>
          <w:highlight w:val="none"/>
        </w:rPr>
      </w:pPr>
      <w:r>
        <w:rPr>
          <w:rFonts w:hint="eastAsia" w:ascii="宋体" w:hAnsi="宋体" w:eastAsia="宋体" w:cs="宋体"/>
          <w:sz w:val="30"/>
          <w:szCs w:val="30"/>
          <w:highlight w:val="none"/>
        </w:rPr>
        <w:t>商务及合同主要条款</w:t>
      </w:r>
    </w:p>
    <w:p w14:paraId="1ADFE8F0">
      <w:pPr>
        <w:pStyle w:val="4"/>
        <w:jc w:val="center"/>
        <w:rPr>
          <w:highlight w:val="none"/>
        </w:rPr>
      </w:pPr>
      <w:r>
        <w:rPr>
          <w:rFonts w:hint="eastAsia"/>
          <w:highlight w:val="none"/>
        </w:rPr>
        <w:t>（参考格式）</w:t>
      </w:r>
    </w:p>
    <w:p w14:paraId="429B141B">
      <w:pPr>
        <w:spacing w:line="720" w:lineRule="auto"/>
        <w:rPr>
          <w:rFonts w:ascii="宋体" w:hAnsi="宋体" w:eastAsia="宋体" w:cs="宋体"/>
          <w:b/>
          <w:bCs/>
          <w:sz w:val="24"/>
          <w:szCs w:val="24"/>
          <w:highlight w:val="none"/>
        </w:rPr>
      </w:pPr>
      <w:bookmarkStart w:id="0" w:name="_GoBack"/>
      <w:bookmarkEnd w:id="0"/>
    </w:p>
    <w:p w14:paraId="0991F138">
      <w:pPr>
        <w:spacing w:line="720" w:lineRule="auto"/>
        <w:ind w:firstLine="964" w:firstLineChars="400"/>
        <w:rPr>
          <w:rFonts w:ascii="宋体" w:hAnsi="宋体" w:eastAsia="宋体" w:cs="宋体"/>
          <w:b/>
          <w:bCs/>
          <w:sz w:val="24"/>
          <w:szCs w:val="24"/>
          <w:highlight w:val="none"/>
        </w:rPr>
      </w:pPr>
    </w:p>
    <w:p w14:paraId="1C6DC53B">
      <w:pPr>
        <w:pStyle w:val="4"/>
        <w:rPr>
          <w:rFonts w:ascii="宋体" w:hAnsi="宋体" w:eastAsia="宋体" w:cs="宋体"/>
          <w:b/>
          <w:bCs/>
          <w:sz w:val="24"/>
          <w:szCs w:val="24"/>
          <w:highlight w:val="none"/>
        </w:rPr>
      </w:pPr>
    </w:p>
    <w:p w14:paraId="076F2A15">
      <w:pPr>
        <w:pStyle w:val="4"/>
        <w:rPr>
          <w:rFonts w:ascii="宋体" w:hAnsi="宋体" w:eastAsia="宋体" w:cs="宋体"/>
          <w:b/>
          <w:bCs/>
          <w:sz w:val="24"/>
          <w:szCs w:val="24"/>
          <w:highlight w:val="none"/>
        </w:rPr>
      </w:pPr>
    </w:p>
    <w:p w14:paraId="7C9FB9BA">
      <w:pPr>
        <w:pStyle w:val="4"/>
        <w:rPr>
          <w:rFonts w:ascii="宋体" w:hAnsi="宋体" w:eastAsia="宋体" w:cs="宋体"/>
          <w:b/>
          <w:bCs/>
          <w:sz w:val="24"/>
          <w:szCs w:val="24"/>
          <w:highlight w:val="none"/>
        </w:rPr>
      </w:pPr>
    </w:p>
    <w:p w14:paraId="32F18D53">
      <w:pPr>
        <w:pStyle w:val="4"/>
        <w:rPr>
          <w:rFonts w:ascii="宋体" w:hAnsi="宋体" w:eastAsia="宋体" w:cs="宋体"/>
          <w:b/>
          <w:bCs/>
          <w:sz w:val="24"/>
          <w:szCs w:val="24"/>
          <w:highlight w:val="none"/>
        </w:rPr>
      </w:pPr>
    </w:p>
    <w:p w14:paraId="1A489290">
      <w:pPr>
        <w:pStyle w:val="4"/>
        <w:rPr>
          <w:rFonts w:ascii="宋体" w:hAnsi="宋体" w:eastAsia="宋体" w:cs="宋体"/>
          <w:b/>
          <w:bCs/>
          <w:sz w:val="24"/>
          <w:szCs w:val="24"/>
          <w:highlight w:val="none"/>
        </w:rPr>
      </w:pPr>
    </w:p>
    <w:p w14:paraId="2E7880D1">
      <w:pPr>
        <w:pStyle w:val="4"/>
        <w:rPr>
          <w:rFonts w:ascii="宋体" w:hAnsi="宋体" w:eastAsia="宋体" w:cs="宋体"/>
          <w:b/>
          <w:bCs/>
          <w:sz w:val="24"/>
          <w:szCs w:val="24"/>
          <w:highlight w:val="none"/>
        </w:rPr>
      </w:pPr>
    </w:p>
    <w:p w14:paraId="3A4491B3">
      <w:pPr>
        <w:pStyle w:val="4"/>
        <w:rPr>
          <w:rFonts w:ascii="宋体" w:hAnsi="宋体" w:eastAsia="宋体" w:cs="宋体"/>
          <w:b/>
          <w:bCs/>
          <w:sz w:val="24"/>
          <w:szCs w:val="24"/>
          <w:highlight w:val="none"/>
        </w:rPr>
      </w:pPr>
    </w:p>
    <w:p w14:paraId="0E1465F7">
      <w:pPr>
        <w:pStyle w:val="4"/>
        <w:rPr>
          <w:rFonts w:ascii="宋体" w:hAnsi="宋体" w:eastAsia="宋体" w:cs="宋体"/>
          <w:b/>
          <w:bCs/>
          <w:sz w:val="24"/>
          <w:szCs w:val="24"/>
          <w:highlight w:val="none"/>
        </w:rPr>
      </w:pPr>
    </w:p>
    <w:p w14:paraId="12DEA733">
      <w:pPr>
        <w:spacing w:line="720" w:lineRule="auto"/>
        <w:ind w:firstLine="562" w:firstLineChars="200"/>
        <w:rPr>
          <w:rFonts w:ascii="宋体" w:hAnsi="宋体" w:eastAsia="宋体" w:cs="宋体"/>
          <w:b/>
          <w:bCs/>
          <w:sz w:val="28"/>
          <w:szCs w:val="28"/>
          <w:highlight w:val="none"/>
        </w:rPr>
      </w:pPr>
    </w:p>
    <w:p w14:paraId="42EFE129">
      <w:pPr>
        <w:spacing w:line="720" w:lineRule="auto"/>
        <w:ind w:firstLine="562" w:firstLineChars="200"/>
        <w:rPr>
          <w:rFonts w:ascii="宋体" w:hAnsi="宋体" w:eastAsia="宋体" w:cs="宋体"/>
          <w:b/>
          <w:bCs/>
          <w:sz w:val="28"/>
          <w:szCs w:val="28"/>
          <w:highlight w:val="none"/>
        </w:rPr>
      </w:pPr>
    </w:p>
    <w:p w14:paraId="59AE71DE">
      <w:pPr>
        <w:spacing w:line="720" w:lineRule="auto"/>
        <w:ind w:firstLine="562" w:firstLineChars="200"/>
        <w:rPr>
          <w:rFonts w:ascii="宋体" w:hAnsi="宋体" w:eastAsia="宋体" w:cs="宋体"/>
          <w:b/>
          <w:bCs/>
          <w:sz w:val="28"/>
          <w:szCs w:val="28"/>
          <w:highlight w:val="none"/>
        </w:rPr>
      </w:pPr>
      <w:r>
        <w:rPr>
          <w:rFonts w:ascii="宋体" w:hAnsi="宋体" w:eastAsia="宋体" w:cs="宋体"/>
          <w:b/>
          <w:bCs/>
          <w:sz w:val="28"/>
          <w:szCs w:val="28"/>
          <w:highlight w:val="none"/>
        </w:rPr>
        <w:t>合同编号：</w:t>
      </w:r>
      <w:r>
        <w:rPr>
          <w:rFonts w:hint="eastAsia" w:ascii="宋体" w:hAnsi="宋体" w:eastAsia="宋体" w:cs="宋体"/>
          <w:b/>
          <w:bCs/>
          <w:sz w:val="28"/>
          <w:szCs w:val="28"/>
          <w:highlight w:val="none"/>
          <w:u w:val="single"/>
          <w:lang w:val="en-US" w:eastAsia="zh-CN"/>
        </w:rPr>
        <w:t xml:space="preserve">                                              </w:t>
      </w:r>
    </w:p>
    <w:p w14:paraId="001F79A1">
      <w:pPr>
        <w:spacing w:line="720" w:lineRule="auto"/>
        <w:ind w:firstLine="562" w:firstLineChars="200"/>
        <w:rPr>
          <w:rFonts w:ascii="宋体" w:hAnsi="宋体" w:eastAsia="宋体" w:cs="宋体"/>
          <w:b/>
          <w:bCs/>
          <w:sz w:val="28"/>
          <w:szCs w:val="28"/>
          <w:highlight w:val="none"/>
        </w:rPr>
      </w:pPr>
      <w:r>
        <w:rPr>
          <w:rFonts w:ascii="宋体" w:hAnsi="宋体" w:eastAsia="宋体" w:cs="宋体"/>
          <w:b/>
          <w:bCs/>
          <w:sz w:val="28"/>
          <w:szCs w:val="28"/>
          <w:highlight w:val="none"/>
        </w:rPr>
        <w:t>采购人（以下简称甲方）：</w:t>
      </w:r>
      <w:r>
        <w:rPr>
          <w:rFonts w:hint="eastAsia" w:ascii="宋体" w:hAnsi="宋体" w:eastAsia="宋体" w:cs="宋体"/>
          <w:b/>
          <w:bCs/>
          <w:sz w:val="28"/>
          <w:szCs w:val="28"/>
          <w:highlight w:val="none"/>
          <w:u w:val="single"/>
          <w:lang w:val="en-US" w:eastAsia="zh-CN"/>
        </w:rPr>
        <w:t xml:space="preserve">                                </w:t>
      </w:r>
      <w:r>
        <w:rPr>
          <w:rFonts w:ascii="宋体" w:hAnsi="宋体" w:eastAsia="宋体" w:cs="宋体"/>
          <w:b/>
          <w:bCs/>
          <w:sz w:val="28"/>
          <w:szCs w:val="28"/>
          <w:highlight w:val="none"/>
        </w:rPr>
        <w:t xml:space="preserve"> </w:t>
      </w:r>
    </w:p>
    <w:p w14:paraId="00BE1B39">
      <w:pPr>
        <w:spacing w:line="720" w:lineRule="auto"/>
        <w:ind w:firstLine="562" w:firstLineChars="200"/>
        <w:rPr>
          <w:rFonts w:ascii="宋体" w:hAnsi="宋体" w:eastAsia="宋体" w:cs="宋体"/>
          <w:b/>
          <w:bCs/>
          <w:sz w:val="28"/>
          <w:szCs w:val="28"/>
          <w:highlight w:val="none"/>
        </w:rPr>
      </w:pPr>
      <w:r>
        <w:rPr>
          <w:rFonts w:ascii="宋体" w:hAnsi="宋体" w:eastAsia="宋体" w:cs="宋体"/>
          <w:b/>
          <w:bCs/>
          <w:sz w:val="28"/>
          <w:szCs w:val="28"/>
          <w:highlight w:val="none"/>
        </w:rPr>
        <w:t>供应商（以下简称乙方）：</w:t>
      </w:r>
      <w:r>
        <w:rPr>
          <w:rFonts w:hint="eastAsia" w:ascii="宋体" w:hAnsi="宋体" w:eastAsia="宋体" w:cs="宋体"/>
          <w:b/>
          <w:bCs/>
          <w:sz w:val="28"/>
          <w:szCs w:val="28"/>
          <w:highlight w:val="none"/>
          <w:u w:val="single"/>
          <w:lang w:val="en-US" w:eastAsia="zh-CN"/>
        </w:rPr>
        <w:t xml:space="preserve">                                </w:t>
      </w:r>
      <w:r>
        <w:rPr>
          <w:rFonts w:ascii="宋体" w:hAnsi="宋体" w:eastAsia="宋体" w:cs="宋体"/>
          <w:b/>
          <w:bCs/>
          <w:sz w:val="28"/>
          <w:szCs w:val="28"/>
          <w:highlight w:val="none"/>
        </w:rPr>
        <w:t xml:space="preserve"> </w:t>
      </w:r>
    </w:p>
    <w:p w14:paraId="6349C5CC">
      <w:pPr>
        <w:ind w:firstLine="562" w:firstLineChars="200"/>
        <w:rPr>
          <w:rFonts w:hint="eastAsia" w:ascii="宋体" w:hAnsi="宋体" w:eastAsia="宋体" w:cs="宋体"/>
          <w:b/>
          <w:bCs/>
          <w:sz w:val="24"/>
          <w:szCs w:val="24"/>
        </w:rPr>
      </w:pPr>
      <w:r>
        <w:rPr>
          <w:rFonts w:ascii="宋体" w:hAnsi="宋体" w:eastAsia="宋体" w:cs="宋体"/>
          <w:b/>
          <w:bCs/>
          <w:sz w:val="28"/>
          <w:szCs w:val="28"/>
          <w:highlight w:val="none"/>
        </w:rPr>
        <w:t>签订日期：</w:t>
      </w:r>
      <w:r>
        <w:rPr>
          <w:rFonts w:hint="eastAsia" w:ascii="宋体" w:hAnsi="宋体" w:eastAsia="宋体" w:cs="宋体"/>
          <w:b/>
          <w:bCs/>
          <w:sz w:val="28"/>
          <w:szCs w:val="28"/>
          <w:highlight w:val="none"/>
          <w:u w:val="single"/>
          <w:lang w:val="en-US" w:eastAsia="zh-CN"/>
        </w:rPr>
        <w:t xml:space="preserve">                                              </w:t>
      </w:r>
    </w:p>
    <w:p w14:paraId="092C885A">
      <w:pPr>
        <w:rPr>
          <w:rFonts w:hint="eastAsia" w:ascii="宋体" w:hAnsi="宋体" w:eastAsia="宋体" w:cs="宋体"/>
          <w:b/>
          <w:bCs/>
          <w:sz w:val="24"/>
          <w:szCs w:val="24"/>
        </w:rPr>
      </w:pPr>
      <w:r>
        <w:rPr>
          <w:rFonts w:hint="eastAsia" w:ascii="宋体" w:hAnsi="宋体" w:eastAsia="宋体" w:cs="宋体"/>
          <w:b/>
          <w:bCs/>
          <w:sz w:val="24"/>
          <w:szCs w:val="24"/>
        </w:rPr>
        <w:br w:type="page"/>
      </w:r>
    </w:p>
    <w:p w14:paraId="6CF08E7F">
      <w:pPr>
        <w:spacing w:line="360" w:lineRule="auto"/>
        <w:ind w:firstLine="482" w:firstLineChars="200"/>
        <w:rPr>
          <w:rFonts w:hint="default" w:ascii="宋体" w:hAnsi="宋体" w:eastAsia="宋体" w:cs="宋体"/>
          <w:b/>
          <w:bCs/>
          <w:sz w:val="24"/>
          <w:szCs w:val="24"/>
          <w:lang w:val="en-US" w:eastAsia="zh-CN"/>
        </w:rPr>
      </w:pPr>
      <w:r>
        <w:rPr>
          <w:rFonts w:hint="eastAsia" w:ascii="宋体" w:hAnsi="宋体" w:eastAsia="宋体" w:cs="宋体"/>
          <w:b/>
          <w:bCs/>
          <w:sz w:val="24"/>
          <w:szCs w:val="24"/>
        </w:rPr>
        <w:t>甲方：西安市城市管理综合行政执法支队灞桥大队</w:t>
      </w:r>
    </w:p>
    <w:p w14:paraId="44B61B51">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乙方：</w:t>
      </w:r>
    </w:p>
    <w:p w14:paraId="50F7BC71">
      <w:pPr>
        <w:spacing w:line="360" w:lineRule="auto"/>
        <w:ind w:firstLine="960" w:firstLineChars="400"/>
        <w:rPr>
          <w:rFonts w:hint="eastAsia" w:ascii="宋体" w:hAnsi="宋体" w:eastAsia="宋体" w:cs="宋体"/>
          <w:sz w:val="24"/>
          <w:szCs w:val="24"/>
        </w:rPr>
      </w:pPr>
      <w:r>
        <w:rPr>
          <w:rFonts w:hint="eastAsia" w:ascii="宋体" w:hAnsi="宋体" w:eastAsia="宋体" w:cs="宋体"/>
          <w:sz w:val="24"/>
          <w:szCs w:val="24"/>
        </w:rPr>
        <w:t>根据《中华人民共和国民法典》及有关规定，双方本着公平友好的原则，签订本服务协议（以下简称“本合同”）：</w:t>
      </w:r>
    </w:p>
    <w:p w14:paraId="5490080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一、服务项目</w:t>
      </w:r>
    </w:p>
    <w:p w14:paraId="6FA2E2F5">
      <w:pPr>
        <w:spacing w:line="360" w:lineRule="auto"/>
        <w:ind w:firstLine="960" w:firstLineChars="400"/>
        <w:rPr>
          <w:rFonts w:hint="eastAsia" w:ascii="宋体" w:hAnsi="宋体" w:eastAsia="宋体" w:cs="宋体"/>
          <w:sz w:val="24"/>
          <w:szCs w:val="24"/>
        </w:rPr>
      </w:pPr>
      <w:r>
        <w:rPr>
          <w:rFonts w:hint="eastAsia" w:ascii="宋体" w:hAnsi="宋体" w:eastAsia="宋体" w:cs="宋体"/>
          <w:sz w:val="24"/>
          <w:szCs w:val="24"/>
        </w:rPr>
        <w:t>合作期内，乙方为甲方项目提供监控</w:t>
      </w:r>
      <w:r>
        <w:rPr>
          <w:rFonts w:hint="eastAsia" w:ascii="宋体" w:hAnsi="宋体" w:cs="宋体"/>
          <w:sz w:val="24"/>
          <w:szCs w:val="24"/>
          <w:lang w:val="en-US" w:eastAsia="zh-CN"/>
        </w:rPr>
        <w:t>系统</w:t>
      </w:r>
      <w:r>
        <w:rPr>
          <w:rFonts w:hint="eastAsia" w:ascii="宋体" w:hAnsi="宋体" w:eastAsia="宋体" w:cs="宋体"/>
          <w:sz w:val="24"/>
          <w:szCs w:val="24"/>
        </w:rPr>
        <w:t>配套运维服务。</w:t>
      </w:r>
    </w:p>
    <w:p w14:paraId="6B143A24">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二、服务期间</w:t>
      </w:r>
    </w:p>
    <w:p w14:paraId="2BC1080C">
      <w:pPr>
        <w:spacing w:line="360" w:lineRule="auto"/>
        <w:ind w:firstLine="960" w:firstLineChars="400"/>
        <w:rPr>
          <w:rFonts w:hint="eastAsia" w:ascii="宋体" w:hAnsi="宋体" w:eastAsia="宋体" w:cs="宋体"/>
          <w:sz w:val="24"/>
          <w:szCs w:val="24"/>
        </w:rPr>
      </w:pPr>
      <w:r>
        <w:rPr>
          <w:rFonts w:hint="eastAsia" w:ascii="宋体" w:hAnsi="宋体" w:eastAsia="宋体" w:cs="宋体"/>
          <w:sz w:val="24"/>
          <w:szCs w:val="24"/>
        </w:rPr>
        <w:t>乙方为甲方提供</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的服务，自</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年</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月</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日起至</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年</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月</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日止。</w:t>
      </w:r>
    </w:p>
    <w:p w14:paraId="3CCC6F83">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三、服务内容</w:t>
      </w:r>
    </w:p>
    <w:p w14:paraId="30E26BF4">
      <w:pPr>
        <w:spacing w:line="360" w:lineRule="auto"/>
        <w:ind w:firstLine="960" w:firstLineChars="400"/>
        <w:rPr>
          <w:rFonts w:hint="default" w:ascii="宋体" w:hAnsi="宋体" w:eastAsia="宋体" w:cs="宋体"/>
          <w:sz w:val="24"/>
          <w:szCs w:val="24"/>
          <w:lang w:val="en-US" w:eastAsia="zh-CN"/>
        </w:rPr>
      </w:pPr>
      <w:r>
        <w:rPr>
          <w:rFonts w:hint="eastAsia" w:ascii="宋体" w:hAnsi="宋体" w:eastAsia="宋体" w:cs="宋体"/>
          <w:sz w:val="24"/>
          <w:szCs w:val="24"/>
        </w:rPr>
        <w:t>乙方为甲方提供：</w:t>
      </w:r>
      <w:r>
        <w:rPr>
          <w:rFonts w:hint="eastAsia" w:ascii="宋体" w:hAnsi="宋体" w:eastAsia="宋体" w:cs="宋体"/>
          <w:sz w:val="24"/>
          <w:szCs w:val="24"/>
          <w:u w:val="single"/>
          <w:lang w:val="en-US" w:eastAsia="zh-CN"/>
        </w:rPr>
        <w:t xml:space="preserve">               </w:t>
      </w:r>
    </w:p>
    <w:p w14:paraId="2015201A">
      <w:pPr>
        <w:numPr>
          <w:ilvl w:val="0"/>
          <w:numId w:val="0"/>
        </w:num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lang w:val="en-US" w:eastAsia="zh-CN"/>
        </w:rPr>
        <w:t>四</w:t>
      </w:r>
      <w:r>
        <w:rPr>
          <w:rFonts w:hint="eastAsia" w:ascii="宋体" w:hAnsi="宋体" w:eastAsia="宋体" w:cs="宋体"/>
          <w:b/>
          <w:bCs/>
          <w:sz w:val="24"/>
          <w:szCs w:val="24"/>
        </w:rPr>
        <w:t>、服务要求与约束</w:t>
      </w:r>
    </w:p>
    <w:p w14:paraId="551B2E90">
      <w:pPr>
        <w:pStyle w:val="3"/>
        <w:numPr>
          <w:ilvl w:val="0"/>
          <w:numId w:val="0"/>
        </w:numPr>
        <w:rPr>
          <w:rFonts w:hint="default" w:ascii="宋体" w:hAnsi="宋体" w:eastAsia="宋体" w:cs="宋体"/>
          <w:kern w:val="2"/>
          <w:sz w:val="24"/>
          <w:szCs w:val="24"/>
          <w:lang w:val="en-US" w:eastAsia="zh-CN" w:bidi="ar-SA"/>
        </w:rPr>
      </w:pPr>
      <w:r>
        <w:rPr>
          <w:rFonts w:hint="eastAsia"/>
          <w:lang w:val="en-US" w:eastAsia="zh-CN"/>
        </w:rPr>
        <w:t xml:space="preserve">           </w:t>
      </w:r>
      <w:r>
        <w:rPr>
          <w:rFonts w:hint="eastAsia" w:ascii="宋体" w:hAnsi="宋体" w:eastAsia="宋体" w:cs="宋体"/>
          <w:kern w:val="2"/>
          <w:sz w:val="24"/>
          <w:szCs w:val="24"/>
          <w:lang w:val="en-US" w:eastAsia="zh-CN" w:bidi="ar-SA"/>
        </w:rPr>
        <w:t>经协商后另行约定填写</w:t>
      </w:r>
    </w:p>
    <w:p w14:paraId="57ECDDA0">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五、费用及付款方式</w:t>
      </w:r>
    </w:p>
    <w:p w14:paraId="7C19FEC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w:t>
      </w:r>
      <w:r>
        <w:rPr>
          <w:rFonts w:hint="eastAsia" w:ascii="宋体" w:hAnsi="宋体" w:eastAsia="宋体" w:cs="宋体"/>
          <w:sz w:val="24"/>
          <w:szCs w:val="24"/>
        </w:rPr>
        <w:t>合同价款</w:t>
      </w:r>
    </w:p>
    <w:p w14:paraId="3EC4B1D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金额（大写）：</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元（人民币）</w:t>
      </w:r>
      <w:r>
        <w:rPr>
          <w:rFonts w:hint="eastAsia" w:ascii="宋体" w:hAnsi="宋体" w:eastAsia="宋体" w:cs="宋体"/>
          <w:sz w:val="24"/>
          <w:szCs w:val="24"/>
          <w:lang w:val="en-US" w:eastAsia="zh-CN"/>
        </w:rPr>
        <w:t>¥</w:t>
      </w:r>
      <w:r>
        <w:rPr>
          <w:rFonts w:hint="eastAsia" w:ascii="宋体" w:hAnsi="宋体" w:eastAsia="宋体" w:cs="宋体"/>
          <w:sz w:val="24"/>
          <w:szCs w:val="24"/>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元（注：合同总价包括：完成本项目所有费用。合同总价一次包死，不受市场价变化的影响。）</w:t>
      </w:r>
    </w:p>
    <w:p w14:paraId="0B4B784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资金支付条件及时间：</w:t>
      </w:r>
    </w:p>
    <w:p w14:paraId="713915A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合同款项将分期支付，每季度对项目质量进行考核，考核合格后支付当年合同价款的25%。若考核不合格，采购人有权扣除相应比例的运维服务费，直至整改达标</w:t>
      </w:r>
      <w:r>
        <w:rPr>
          <w:rFonts w:hint="eastAsia" w:ascii="宋体" w:hAnsi="宋体" w:eastAsia="宋体" w:cs="宋体"/>
          <w:color w:val="auto"/>
          <w:sz w:val="24"/>
          <w:szCs w:val="24"/>
          <w:highlight w:val="none"/>
          <w:lang w:eastAsia="zh-CN"/>
        </w:rPr>
        <w:t>。</w:t>
      </w:r>
    </w:p>
    <w:p w14:paraId="5F60301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结算方式：银行转账。</w:t>
      </w:r>
    </w:p>
    <w:p w14:paraId="380EAD2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lang w:val="en-US" w:eastAsia="zh-CN"/>
        </w:rPr>
        <w:t>.</w:t>
      </w:r>
      <w:r>
        <w:rPr>
          <w:rFonts w:hint="eastAsia" w:ascii="宋体" w:hAnsi="宋体" w:eastAsia="宋体" w:cs="宋体"/>
          <w:sz w:val="24"/>
          <w:szCs w:val="24"/>
        </w:rPr>
        <w:t>结算单位：由甲方负责结算，乙方开具合同总价数的全额发票交采购人。</w:t>
      </w:r>
    </w:p>
    <w:p w14:paraId="70C1376C">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六、甲方的权利义务</w:t>
      </w:r>
    </w:p>
    <w:p w14:paraId="26407AC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1.甲方有权对合同规定范围内乙方的服务行为进行监督和检查，拥有监管权。有权定期核对乙方提供服务所配备的人员数量。对甲方认为不合理的部分有权下达整改通知书，并要求乙方限期整改。</w:t>
      </w:r>
    </w:p>
    <w:p w14:paraId="0DF481D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2.甲方有权依据双方签订的考评办法对乙方提供的服务进行定期考评。</w:t>
      </w:r>
    </w:p>
    <w:p w14:paraId="5C6357A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3.负责检查监督乙方管理工作的实施及制度的执行情况。</w:t>
      </w:r>
    </w:p>
    <w:p w14:paraId="4C34B09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4.根据本合同规定，按时向乙方支付应付服务费用。</w:t>
      </w:r>
    </w:p>
    <w:p w14:paraId="79B3D1C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5.国家法律、法规所规定由甲方承担的其它责任。</w:t>
      </w:r>
    </w:p>
    <w:p w14:paraId="25504314">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七、乙方权利和义务</w:t>
      </w:r>
    </w:p>
    <w:p w14:paraId="05E375F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1.对本合同规定的委托服务范围内的项目享有管理权及服务义务。</w:t>
      </w:r>
    </w:p>
    <w:p w14:paraId="3DD1EA0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2.根据本合同的规定向甲方收取相关服务费用，并有权在本项目管理范围内</w:t>
      </w:r>
    </w:p>
    <w:p w14:paraId="51A7D23F">
      <w:pPr>
        <w:spacing w:line="360" w:lineRule="auto"/>
        <w:rPr>
          <w:rFonts w:hint="eastAsia" w:ascii="宋体" w:hAnsi="宋体" w:eastAsia="宋体" w:cs="宋体"/>
          <w:sz w:val="24"/>
          <w:szCs w:val="24"/>
        </w:rPr>
      </w:pPr>
      <w:r>
        <w:rPr>
          <w:rFonts w:hint="eastAsia" w:ascii="宋体" w:hAnsi="宋体" w:eastAsia="宋体" w:cs="宋体"/>
          <w:sz w:val="24"/>
          <w:szCs w:val="24"/>
        </w:rPr>
        <w:t>管理及合理使用。</w:t>
      </w:r>
    </w:p>
    <w:p w14:paraId="6BF532B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3.及时向甲方通告本项目服务范围内有关服务的重大事项，及时配合处理投诉。</w:t>
      </w:r>
    </w:p>
    <w:p w14:paraId="1ED983D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4.接受项目行业管理部门及政府有关部门的指导，接受甲方的监督。</w:t>
      </w:r>
    </w:p>
    <w:p w14:paraId="044BB82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5.国家法律、法规所规定由乙方承担的其它责任。</w:t>
      </w:r>
    </w:p>
    <w:p w14:paraId="5EF9EBEE">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八、保密责任</w:t>
      </w:r>
    </w:p>
    <w:p w14:paraId="0384A12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未经对方许可，任何一方不得向第三方（有关法律、法规、政府部门、证券交易所或其他监管机构要求和双方的法律、会计、商业及其他顾问、雇员除外）泄露本合同的条款的任何内容以及本合同的签订及履行情况，以及通过签订和履行本合同而获知的对方及对方关联公司的任何信息。否则，甲乙双方都有权利向对方请求损失赔偿，并依法追究法律责任。</w:t>
      </w:r>
    </w:p>
    <w:p w14:paraId="325C1B7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2、本合同有效期内及终止后，本保密条款仍具有法律效力。</w:t>
      </w:r>
    </w:p>
    <w:p w14:paraId="4F0FD0CF">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九、不可抗力</w:t>
      </w:r>
    </w:p>
    <w:p w14:paraId="779242D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不可抗力”是指合同双方不能合理控制、不可预见或即使预见亦无法避免的事件，该事件妨碍、影响或延误任何一方根据合同履行其全部或部分义务。该事件包括但不限于政府行为、自然灾害、战争、电脑病毒、黑客攻击、网络故障、带宽或其他网络设备或技术提供商的服务延迟、服务故障或任何其它类似事件。出现不可抗力事件时，知情方应及时、充分地向对方以书面形式发通知，并告知对方该类事件对本合同可能产生的影响，并应当在合理期限内提供相关证明。由于以上所述不可抗力事件致使合同的部分或全部不能履行或延迟履行，则双方于彼此间不承担任何违约责任。</w:t>
      </w:r>
    </w:p>
    <w:p w14:paraId="737AAC2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2、一方违约后发生不可抗力的，不能免责。</w:t>
      </w:r>
    </w:p>
    <w:p w14:paraId="362F7D0A">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十、合同的变更、解除及违约处理</w:t>
      </w:r>
    </w:p>
    <w:p w14:paraId="7C3834F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本合同所订一切条款，甲、乙任何一方不得擅自变更或修改，本合同如有未尽事宜或对本合同的任何修正、更改或增删需由甲乙双方协商另订补充合同，补充合同经双方授权代表签字或盖章后方可发生效力并与本合同有同等效力。</w:t>
      </w:r>
    </w:p>
    <w:p w14:paraId="1F6A85D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2、如一方违反本合同中所规定的义务，违约方在收到守约方要求纠正其违约行为的书面通知之日，应立即停止其违约行为，违约方向守约方承担本合同服务费金额 10%违约金，并在三十(30)日内赔偿守约方因此受到的所有损失。如违约方继续进行违约行为或不履行其义务，守约方除就其包括但不限于直接损失、间接损失、可得利益损失、甲方对第三方的赔偿、诉讼费、律师费、调查取证费、差旅费等因乙方违约所发生的全部费用外，亦有权提前终止本合同。</w:t>
      </w:r>
    </w:p>
    <w:p w14:paraId="3A94448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3、本合同期间，如甲方逾期七(7)日未向乙方支付到期款项，经乙方合理催告后，甲方仍拒绝支付的，乙方可经书面通知甲方而终止本合同。</w:t>
      </w:r>
    </w:p>
    <w:p w14:paraId="16C48A14">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十一、反商业贿赂协议</w:t>
      </w:r>
    </w:p>
    <w:p w14:paraId="5A5438E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反商业贿赂条款是本合同必备条款，请与甲方签署合同之当事人认真阅读本条款，同意与甲方签订并遵守如下反商业贿赂条款：</w:t>
      </w:r>
    </w:p>
    <w:p w14:paraId="64E6607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1、甲乙双方都清楚并愿意严格遵守中华人民共和国反商业贿赂的法律规定，双方都清楚任何形式的贿赂和贪渎行为都将触犯法律，并将受到法律的严惩。</w:t>
      </w:r>
    </w:p>
    <w:p w14:paraId="68985E4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甲方或乙方均不得向对方或对方经办人或其他相关人员索要、收受、提供、给予合同约定外的任何利益，包括但不限于明扣、暗扣、现金、购物卡、实物、有价证券、旅游或其他非物质性利益等，但如该等利益属于行业惯例或通常做法，则须在合同中明示。</w:t>
      </w:r>
    </w:p>
    <w:p w14:paraId="6314485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3、甲方严格禁止甲方经办人员的任何商业贿赂行为。甲方经办人发生本条第2 款所列示的任何一种行为，都视为违反甲方公司制度，将受到甲方公司制度和国家法律的惩处。</w:t>
      </w:r>
    </w:p>
    <w:p w14:paraId="2A11185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若乙方贿赂甲方任何员工，以图获取任何不正当商业利益或更特殊的商业待遇或不配合甲方查处其员工的受贿行为的，构成检察机关或公安机关立案查处的，甲方有权停止与乙方的一切合作，并依法对乙方采取诸如冻结所有应付账款的措施，或扣留总款项的 30%作为乙方的违约金。</w:t>
      </w:r>
    </w:p>
    <w:p w14:paraId="41ED651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5、本条所称“其他相关人员”是指甲乙方经办人以外的与合同有直接或间接利益关系的人员，包括但不仅限于合同经办人的配偶、子女、亲属。</w:t>
      </w:r>
    </w:p>
    <w:p w14:paraId="17F153AE">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十二、争议解决</w:t>
      </w:r>
    </w:p>
    <w:p w14:paraId="6799895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1、本合同的生效、解释、执行、管辖、争议的解决均适用中华人民共和国法律。</w:t>
      </w:r>
    </w:p>
    <w:p w14:paraId="2855172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2、因本合同引起的或与本合同有关的任何争议，甲乙双方可友好协商解决；协商不成，任何一方有权向甲方住所地人民法院提起诉讼。</w:t>
      </w:r>
    </w:p>
    <w:p w14:paraId="048FD5B2">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十三、生效</w:t>
      </w:r>
    </w:p>
    <w:p w14:paraId="2DC9096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1、本合同经双方授权代表签字并加盖公章或直接加盖公章/合同专用章后生效。</w:t>
      </w:r>
    </w:p>
    <w:p w14:paraId="75C91CC1">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2、本合同一式陆份，甲方持肆份，乙方持贰份。本合同的相关附件均为本合同不可分割的一部分，具有与合同正文同等的法律效力</w:t>
      </w:r>
      <w:r>
        <w:rPr>
          <w:rFonts w:hint="eastAsia" w:ascii="宋体" w:hAnsi="宋体" w:eastAsia="宋体" w:cs="宋体"/>
          <w:sz w:val="24"/>
          <w:szCs w:val="24"/>
          <w:lang w:eastAsia="zh-CN"/>
        </w:rPr>
        <w:t>。</w:t>
      </w:r>
    </w:p>
    <w:p w14:paraId="14E74B7E">
      <w:pPr>
        <w:spacing w:line="360" w:lineRule="auto"/>
        <w:ind w:firstLine="480" w:firstLineChars="200"/>
        <w:rPr>
          <w:rFonts w:hint="eastAsia" w:ascii="宋体" w:hAnsi="宋体" w:eastAsia="宋体" w:cs="宋体"/>
          <w:sz w:val="24"/>
          <w:szCs w:val="24"/>
        </w:rPr>
      </w:pPr>
    </w:p>
    <w:tbl>
      <w:tblPr>
        <w:tblStyle w:val="5"/>
        <w:tblW w:w="0" w:type="auto"/>
        <w:jc w:val="center"/>
        <w:tblLayout w:type="fixed"/>
        <w:tblCellMar>
          <w:top w:w="0" w:type="dxa"/>
          <w:left w:w="108" w:type="dxa"/>
          <w:bottom w:w="0" w:type="dxa"/>
          <w:right w:w="108" w:type="dxa"/>
        </w:tblCellMar>
      </w:tblPr>
      <w:tblGrid>
        <w:gridCol w:w="4201"/>
        <w:gridCol w:w="4202"/>
      </w:tblGrid>
      <w:tr w14:paraId="56CB302E">
        <w:tblPrEx>
          <w:tblCellMar>
            <w:top w:w="0" w:type="dxa"/>
            <w:left w:w="108" w:type="dxa"/>
            <w:bottom w:w="0" w:type="dxa"/>
            <w:right w:w="108" w:type="dxa"/>
          </w:tblCellMar>
        </w:tblPrEx>
        <w:trPr>
          <w:trHeight w:val="680" w:hRule="exact"/>
          <w:jc w:val="center"/>
        </w:trPr>
        <w:tc>
          <w:tcPr>
            <w:tcW w:w="4201" w:type="dxa"/>
            <w:noWrap w:val="0"/>
            <w:vAlign w:val="center"/>
          </w:tcPr>
          <w:p w14:paraId="5E2D4AAE">
            <w:pPr>
              <w:autoSpaceDE w:val="0"/>
              <w:autoSpaceDN w:val="0"/>
              <w:adjustRightInd w:val="0"/>
              <w:rPr>
                <w:rFonts w:hAnsi="宋体" w:cs="宋体"/>
                <w:color w:val="auto"/>
                <w:spacing w:val="-20"/>
                <w:szCs w:val="24"/>
                <w:highlight w:val="none"/>
              </w:rPr>
            </w:pPr>
            <w:r>
              <w:rPr>
                <w:rFonts w:hint="eastAsia" w:hAnsi="宋体" w:cs="宋体"/>
                <w:color w:val="auto"/>
                <w:spacing w:val="-20"/>
                <w:szCs w:val="24"/>
                <w:highlight w:val="none"/>
              </w:rPr>
              <w:t>甲  方</w:t>
            </w:r>
          </w:p>
        </w:tc>
        <w:tc>
          <w:tcPr>
            <w:tcW w:w="4202" w:type="dxa"/>
            <w:noWrap w:val="0"/>
            <w:vAlign w:val="center"/>
          </w:tcPr>
          <w:p w14:paraId="3BCDA8FF">
            <w:pPr>
              <w:autoSpaceDE w:val="0"/>
              <w:autoSpaceDN w:val="0"/>
              <w:adjustRightInd w:val="0"/>
              <w:rPr>
                <w:rFonts w:hAnsi="宋体" w:cs="宋体"/>
                <w:color w:val="auto"/>
                <w:spacing w:val="-20"/>
                <w:szCs w:val="24"/>
                <w:highlight w:val="none"/>
              </w:rPr>
            </w:pPr>
            <w:r>
              <w:rPr>
                <w:rFonts w:hint="eastAsia" w:hAnsi="宋体" w:cs="宋体"/>
                <w:color w:val="auto"/>
                <w:spacing w:val="-20"/>
                <w:szCs w:val="24"/>
                <w:highlight w:val="none"/>
              </w:rPr>
              <w:t>乙  方</w:t>
            </w:r>
          </w:p>
        </w:tc>
      </w:tr>
      <w:tr w14:paraId="36E8603E">
        <w:tblPrEx>
          <w:tblCellMar>
            <w:top w:w="0" w:type="dxa"/>
            <w:left w:w="108" w:type="dxa"/>
            <w:bottom w:w="0" w:type="dxa"/>
            <w:right w:w="108" w:type="dxa"/>
          </w:tblCellMar>
        </w:tblPrEx>
        <w:trPr>
          <w:trHeight w:val="680" w:hRule="exact"/>
          <w:jc w:val="center"/>
        </w:trPr>
        <w:tc>
          <w:tcPr>
            <w:tcW w:w="4201" w:type="dxa"/>
            <w:noWrap w:val="0"/>
            <w:vAlign w:val="center"/>
          </w:tcPr>
          <w:p w14:paraId="1B14A5A8">
            <w:pPr>
              <w:autoSpaceDE w:val="0"/>
              <w:autoSpaceDN w:val="0"/>
              <w:adjustRightInd w:val="0"/>
              <w:ind w:firstLine="595" w:firstLineChars="350"/>
              <w:rPr>
                <w:rFonts w:hAnsi="宋体" w:cs="宋体"/>
                <w:color w:val="auto"/>
                <w:spacing w:val="-20"/>
                <w:szCs w:val="24"/>
                <w:highlight w:val="none"/>
              </w:rPr>
            </w:pPr>
            <w:r>
              <w:rPr>
                <w:rFonts w:hint="eastAsia" w:hAnsi="宋体" w:cs="宋体"/>
                <w:color w:val="auto"/>
                <w:spacing w:val="-20"/>
                <w:szCs w:val="24"/>
                <w:highlight w:val="none"/>
              </w:rPr>
              <w:t>（盖章）</w:t>
            </w:r>
          </w:p>
        </w:tc>
        <w:tc>
          <w:tcPr>
            <w:tcW w:w="4202" w:type="dxa"/>
            <w:noWrap w:val="0"/>
            <w:vAlign w:val="center"/>
          </w:tcPr>
          <w:p w14:paraId="232CACB9">
            <w:pPr>
              <w:autoSpaceDE w:val="0"/>
              <w:autoSpaceDN w:val="0"/>
              <w:adjustRightInd w:val="0"/>
              <w:ind w:firstLine="680" w:firstLineChars="400"/>
              <w:rPr>
                <w:rFonts w:hAnsi="宋体" w:cs="宋体"/>
                <w:color w:val="auto"/>
                <w:spacing w:val="-20"/>
                <w:szCs w:val="24"/>
                <w:highlight w:val="none"/>
              </w:rPr>
            </w:pPr>
            <w:r>
              <w:rPr>
                <w:rFonts w:hint="eastAsia" w:hAnsi="宋体" w:cs="宋体"/>
                <w:color w:val="auto"/>
                <w:spacing w:val="-20"/>
                <w:szCs w:val="24"/>
                <w:highlight w:val="none"/>
              </w:rPr>
              <w:t>（盖章）</w:t>
            </w:r>
          </w:p>
        </w:tc>
      </w:tr>
      <w:tr w14:paraId="004B8A31">
        <w:tblPrEx>
          <w:tblCellMar>
            <w:top w:w="0" w:type="dxa"/>
            <w:left w:w="108" w:type="dxa"/>
            <w:bottom w:w="0" w:type="dxa"/>
            <w:right w:w="108" w:type="dxa"/>
          </w:tblCellMar>
        </w:tblPrEx>
        <w:trPr>
          <w:trHeight w:val="680" w:hRule="exact"/>
          <w:jc w:val="center"/>
        </w:trPr>
        <w:tc>
          <w:tcPr>
            <w:tcW w:w="4201" w:type="dxa"/>
            <w:noWrap w:val="0"/>
            <w:vAlign w:val="center"/>
          </w:tcPr>
          <w:p w14:paraId="7D3C23C5">
            <w:pPr>
              <w:autoSpaceDE w:val="0"/>
              <w:autoSpaceDN w:val="0"/>
              <w:adjustRightInd w:val="0"/>
              <w:rPr>
                <w:rFonts w:hAnsi="宋体" w:cs="宋体"/>
                <w:color w:val="auto"/>
                <w:spacing w:val="-20"/>
                <w:szCs w:val="24"/>
                <w:highlight w:val="none"/>
              </w:rPr>
            </w:pPr>
            <w:r>
              <w:rPr>
                <w:rFonts w:hint="eastAsia" w:hAnsi="宋体" w:cs="宋体"/>
                <w:color w:val="auto"/>
                <w:spacing w:val="-20"/>
                <w:szCs w:val="24"/>
                <w:highlight w:val="none"/>
              </w:rPr>
              <w:t xml:space="preserve">地址： </w:t>
            </w:r>
          </w:p>
        </w:tc>
        <w:tc>
          <w:tcPr>
            <w:tcW w:w="4202" w:type="dxa"/>
            <w:noWrap w:val="0"/>
            <w:vAlign w:val="center"/>
          </w:tcPr>
          <w:p w14:paraId="074614BE">
            <w:pPr>
              <w:autoSpaceDE w:val="0"/>
              <w:autoSpaceDN w:val="0"/>
              <w:adjustRightInd w:val="0"/>
              <w:rPr>
                <w:rFonts w:hAnsi="宋体" w:cs="宋体"/>
                <w:color w:val="auto"/>
                <w:spacing w:val="-20"/>
                <w:szCs w:val="24"/>
                <w:highlight w:val="none"/>
              </w:rPr>
            </w:pPr>
            <w:r>
              <w:rPr>
                <w:rFonts w:hint="eastAsia" w:hAnsi="宋体" w:cs="宋体"/>
                <w:color w:val="auto"/>
                <w:spacing w:val="-20"/>
                <w:szCs w:val="24"/>
                <w:highlight w:val="none"/>
              </w:rPr>
              <w:t>地址：</w:t>
            </w:r>
          </w:p>
        </w:tc>
      </w:tr>
      <w:tr w14:paraId="3FF52239">
        <w:tblPrEx>
          <w:tblCellMar>
            <w:top w:w="0" w:type="dxa"/>
            <w:left w:w="108" w:type="dxa"/>
            <w:bottom w:w="0" w:type="dxa"/>
            <w:right w:w="108" w:type="dxa"/>
          </w:tblCellMar>
        </w:tblPrEx>
        <w:trPr>
          <w:trHeight w:val="680" w:hRule="exact"/>
          <w:jc w:val="center"/>
        </w:trPr>
        <w:tc>
          <w:tcPr>
            <w:tcW w:w="4201" w:type="dxa"/>
            <w:noWrap w:val="0"/>
            <w:vAlign w:val="center"/>
          </w:tcPr>
          <w:p w14:paraId="450B1841">
            <w:pPr>
              <w:autoSpaceDE w:val="0"/>
              <w:autoSpaceDN w:val="0"/>
              <w:adjustRightInd w:val="0"/>
              <w:rPr>
                <w:rFonts w:hAnsi="宋体" w:cs="宋体"/>
                <w:color w:val="auto"/>
                <w:spacing w:val="-20"/>
                <w:szCs w:val="24"/>
                <w:highlight w:val="none"/>
              </w:rPr>
            </w:pPr>
            <w:r>
              <w:rPr>
                <w:rFonts w:hint="eastAsia" w:hAnsi="宋体" w:cs="宋体"/>
                <w:color w:val="auto"/>
                <w:spacing w:val="-20"/>
                <w:szCs w:val="24"/>
                <w:highlight w:val="none"/>
              </w:rPr>
              <w:t>邮编：</w:t>
            </w:r>
          </w:p>
        </w:tc>
        <w:tc>
          <w:tcPr>
            <w:tcW w:w="4202" w:type="dxa"/>
            <w:noWrap w:val="0"/>
            <w:vAlign w:val="center"/>
          </w:tcPr>
          <w:p w14:paraId="41E7D153">
            <w:pPr>
              <w:autoSpaceDE w:val="0"/>
              <w:autoSpaceDN w:val="0"/>
              <w:adjustRightInd w:val="0"/>
              <w:rPr>
                <w:rFonts w:hAnsi="宋体" w:cs="宋体"/>
                <w:color w:val="auto"/>
                <w:spacing w:val="-20"/>
                <w:szCs w:val="24"/>
                <w:highlight w:val="none"/>
              </w:rPr>
            </w:pPr>
            <w:r>
              <w:rPr>
                <w:rFonts w:hint="eastAsia" w:hAnsi="宋体" w:cs="宋体"/>
                <w:color w:val="auto"/>
                <w:spacing w:val="-20"/>
                <w:szCs w:val="24"/>
                <w:highlight w:val="none"/>
              </w:rPr>
              <w:t>邮编：</w:t>
            </w:r>
          </w:p>
        </w:tc>
      </w:tr>
      <w:tr w14:paraId="59A47419">
        <w:tblPrEx>
          <w:tblCellMar>
            <w:top w:w="0" w:type="dxa"/>
            <w:left w:w="108" w:type="dxa"/>
            <w:bottom w:w="0" w:type="dxa"/>
            <w:right w:w="108" w:type="dxa"/>
          </w:tblCellMar>
        </w:tblPrEx>
        <w:trPr>
          <w:trHeight w:val="680" w:hRule="exact"/>
          <w:jc w:val="center"/>
        </w:trPr>
        <w:tc>
          <w:tcPr>
            <w:tcW w:w="4201" w:type="dxa"/>
            <w:noWrap w:val="0"/>
            <w:vAlign w:val="center"/>
          </w:tcPr>
          <w:p w14:paraId="2CAC3750">
            <w:pPr>
              <w:autoSpaceDE w:val="0"/>
              <w:autoSpaceDN w:val="0"/>
              <w:adjustRightInd w:val="0"/>
              <w:rPr>
                <w:rFonts w:hAnsi="宋体" w:cs="宋体"/>
                <w:color w:val="auto"/>
                <w:spacing w:val="-20"/>
                <w:szCs w:val="24"/>
                <w:highlight w:val="none"/>
              </w:rPr>
            </w:pPr>
            <w:r>
              <w:rPr>
                <w:rFonts w:hint="eastAsia" w:hAnsi="宋体" w:cs="宋体"/>
                <w:color w:val="auto"/>
                <w:spacing w:val="-20"/>
                <w:szCs w:val="24"/>
                <w:highlight w:val="none"/>
              </w:rPr>
              <w:t xml:space="preserve">法定代表人： </w:t>
            </w:r>
          </w:p>
        </w:tc>
        <w:tc>
          <w:tcPr>
            <w:tcW w:w="4202" w:type="dxa"/>
            <w:noWrap w:val="0"/>
            <w:vAlign w:val="center"/>
          </w:tcPr>
          <w:p w14:paraId="13FD88C3">
            <w:pPr>
              <w:autoSpaceDE w:val="0"/>
              <w:autoSpaceDN w:val="0"/>
              <w:adjustRightInd w:val="0"/>
              <w:rPr>
                <w:rFonts w:hAnsi="宋体" w:cs="宋体"/>
                <w:color w:val="auto"/>
                <w:spacing w:val="-20"/>
                <w:szCs w:val="24"/>
                <w:highlight w:val="none"/>
              </w:rPr>
            </w:pPr>
            <w:r>
              <w:rPr>
                <w:rFonts w:hint="eastAsia" w:hAnsi="宋体" w:cs="宋体"/>
                <w:color w:val="auto"/>
                <w:spacing w:val="-20"/>
                <w:szCs w:val="24"/>
                <w:highlight w:val="none"/>
              </w:rPr>
              <w:t>法定代表人：</w:t>
            </w:r>
          </w:p>
        </w:tc>
      </w:tr>
      <w:tr w14:paraId="61D6D0F5">
        <w:tblPrEx>
          <w:tblCellMar>
            <w:top w:w="0" w:type="dxa"/>
            <w:left w:w="108" w:type="dxa"/>
            <w:bottom w:w="0" w:type="dxa"/>
            <w:right w:w="108" w:type="dxa"/>
          </w:tblCellMar>
        </w:tblPrEx>
        <w:trPr>
          <w:trHeight w:val="680" w:hRule="exact"/>
          <w:jc w:val="center"/>
        </w:trPr>
        <w:tc>
          <w:tcPr>
            <w:tcW w:w="4201" w:type="dxa"/>
            <w:noWrap w:val="0"/>
            <w:vAlign w:val="center"/>
          </w:tcPr>
          <w:p w14:paraId="1E716ED5">
            <w:pPr>
              <w:autoSpaceDE w:val="0"/>
              <w:autoSpaceDN w:val="0"/>
              <w:adjustRightInd w:val="0"/>
              <w:rPr>
                <w:rFonts w:hAnsi="宋体" w:cs="宋体"/>
                <w:color w:val="auto"/>
                <w:spacing w:val="-20"/>
                <w:szCs w:val="24"/>
                <w:highlight w:val="none"/>
              </w:rPr>
            </w:pPr>
            <w:r>
              <w:rPr>
                <w:rFonts w:hint="eastAsia" w:hAnsi="宋体" w:cs="宋体"/>
                <w:color w:val="auto"/>
                <w:spacing w:val="-20"/>
                <w:szCs w:val="24"/>
                <w:highlight w:val="none"/>
              </w:rPr>
              <w:t>授权代表：</w:t>
            </w:r>
          </w:p>
        </w:tc>
        <w:tc>
          <w:tcPr>
            <w:tcW w:w="4202" w:type="dxa"/>
            <w:noWrap w:val="0"/>
            <w:vAlign w:val="center"/>
          </w:tcPr>
          <w:p w14:paraId="6528612C">
            <w:pPr>
              <w:autoSpaceDE w:val="0"/>
              <w:autoSpaceDN w:val="0"/>
              <w:adjustRightInd w:val="0"/>
              <w:rPr>
                <w:rFonts w:hAnsi="宋体" w:cs="宋体"/>
                <w:color w:val="auto"/>
                <w:spacing w:val="-20"/>
                <w:szCs w:val="24"/>
                <w:highlight w:val="none"/>
              </w:rPr>
            </w:pPr>
            <w:r>
              <w:rPr>
                <w:rFonts w:hint="eastAsia" w:hAnsi="宋体" w:cs="宋体"/>
                <w:color w:val="auto"/>
                <w:spacing w:val="-20"/>
                <w:szCs w:val="24"/>
                <w:highlight w:val="none"/>
              </w:rPr>
              <w:t>授权代表：</w:t>
            </w:r>
          </w:p>
        </w:tc>
      </w:tr>
      <w:tr w14:paraId="4EA3C83E">
        <w:tblPrEx>
          <w:tblCellMar>
            <w:top w:w="0" w:type="dxa"/>
            <w:left w:w="108" w:type="dxa"/>
            <w:bottom w:w="0" w:type="dxa"/>
            <w:right w:w="108" w:type="dxa"/>
          </w:tblCellMar>
        </w:tblPrEx>
        <w:trPr>
          <w:trHeight w:val="680" w:hRule="exact"/>
          <w:jc w:val="center"/>
        </w:trPr>
        <w:tc>
          <w:tcPr>
            <w:tcW w:w="4201" w:type="dxa"/>
            <w:noWrap w:val="0"/>
            <w:vAlign w:val="center"/>
          </w:tcPr>
          <w:p w14:paraId="4F29439A">
            <w:pPr>
              <w:autoSpaceDE w:val="0"/>
              <w:autoSpaceDN w:val="0"/>
              <w:adjustRightInd w:val="0"/>
              <w:rPr>
                <w:rFonts w:hAnsi="宋体" w:cs="宋体"/>
                <w:color w:val="auto"/>
                <w:spacing w:val="-20"/>
                <w:szCs w:val="24"/>
                <w:highlight w:val="none"/>
              </w:rPr>
            </w:pPr>
            <w:r>
              <w:rPr>
                <w:rFonts w:hint="eastAsia" w:hAnsi="宋体" w:cs="宋体"/>
                <w:color w:val="auto"/>
                <w:spacing w:val="-20"/>
                <w:szCs w:val="24"/>
                <w:highlight w:val="none"/>
              </w:rPr>
              <w:t>电话：</w:t>
            </w:r>
          </w:p>
        </w:tc>
        <w:tc>
          <w:tcPr>
            <w:tcW w:w="4202" w:type="dxa"/>
            <w:noWrap w:val="0"/>
            <w:vAlign w:val="center"/>
          </w:tcPr>
          <w:p w14:paraId="78DAD1E7">
            <w:pPr>
              <w:autoSpaceDE w:val="0"/>
              <w:autoSpaceDN w:val="0"/>
              <w:adjustRightInd w:val="0"/>
              <w:ind w:left="600" w:hanging="510" w:hangingChars="300"/>
              <w:rPr>
                <w:rFonts w:hAnsi="宋体" w:cs="宋体"/>
                <w:color w:val="auto"/>
                <w:spacing w:val="-20"/>
                <w:szCs w:val="24"/>
                <w:highlight w:val="none"/>
              </w:rPr>
            </w:pPr>
            <w:r>
              <w:rPr>
                <w:rFonts w:hint="eastAsia" w:hAnsi="宋体" w:cs="宋体"/>
                <w:color w:val="auto"/>
                <w:spacing w:val="-20"/>
                <w:szCs w:val="24"/>
                <w:highlight w:val="none"/>
              </w:rPr>
              <w:t>电话：</w:t>
            </w:r>
          </w:p>
        </w:tc>
      </w:tr>
      <w:tr w14:paraId="40733682">
        <w:tblPrEx>
          <w:tblCellMar>
            <w:top w:w="0" w:type="dxa"/>
            <w:left w:w="108" w:type="dxa"/>
            <w:bottom w:w="0" w:type="dxa"/>
            <w:right w:w="108" w:type="dxa"/>
          </w:tblCellMar>
        </w:tblPrEx>
        <w:trPr>
          <w:trHeight w:val="680" w:hRule="exact"/>
          <w:jc w:val="center"/>
        </w:trPr>
        <w:tc>
          <w:tcPr>
            <w:tcW w:w="4201" w:type="dxa"/>
            <w:noWrap w:val="0"/>
            <w:vAlign w:val="center"/>
          </w:tcPr>
          <w:p w14:paraId="6C91150C">
            <w:pPr>
              <w:autoSpaceDE w:val="0"/>
              <w:autoSpaceDN w:val="0"/>
              <w:adjustRightInd w:val="0"/>
              <w:rPr>
                <w:rFonts w:hAnsi="宋体" w:cs="宋体"/>
                <w:color w:val="auto"/>
                <w:spacing w:val="-20"/>
                <w:szCs w:val="24"/>
                <w:highlight w:val="none"/>
              </w:rPr>
            </w:pPr>
            <w:r>
              <w:rPr>
                <w:rFonts w:hint="eastAsia" w:hAnsi="宋体" w:cs="宋体"/>
                <w:color w:val="auto"/>
                <w:spacing w:val="-20"/>
                <w:szCs w:val="24"/>
                <w:highlight w:val="none"/>
              </w:rPr>
              <w:t>传真：</w:t>
            </w:r>
          </w:p>
        </w:tc>
        <w:tc>
          <w:tcPr>
            <w:tcW w:w="4202" w:type="dxa"/>
            <w:noWrap w:val="0"/>
            <w:vAlign w:val="center"/>
          </w:tcPr>
          <w:p w14:paraId="279AED1B">
            <w:pPr>
              <w:autoSpaceDE w:val="0"/>
              <w:autoSpaceDN w:val="0"/>
              <w:adjustRightInd w:val="0"/>
              <w:rPr>
                <w:rFonts w:hAnsi="宋体" w:cs="宋体"/>
                <w:color w:val="auto"/>
                <w:spacing w:val="-20"/>
                <w:szCs w:val="24"/>
                <w:highlight w:val="none"/>
              </w:rPr>
            </w:pPr>
            <w:r>
              <w:rPr>
                <w:rFonts w:hint="eastAsia" w:hAnsi="宋体" w:cs="宋体"/>
                <w:color w:val="auto"/>
                <w:spacing w:val="-20"/>
                <w:szCs w:val="24"/>
                <w:highlight w:val="none"/>
              </w:rPr>
              <w:t>传真：</w:t>
            </w:r>
          </w:p>
        </w:tc>
      </w:tr>
      <w:tr w14:paraId="3C523A87">
        <w:tblPrEx>
          <w:tblCellMar>
            <w:top w:w="0" w:type="dxa"/>
            <w:left w:w="108" w:type="dxa"/>
            <w:bottom w:w="0" w:type="dxa"/>
            <w:right w:w="108" w:type="dxa"/>
          </w:tblCellMar>
        </w:tblPrEx>
        <w:trPr>
          <w:trHeight w:val="680" w:hRule="exact"/>
          <w:jc w:val="center"/>
        </w:trPr>
        <w:tc>
          <w:tcPr>
            <w:tcW w:w="4201" w:type="dxa"/>
            <w:noWrap w:val="0"/>
            <w:vAlign w:val="center"/>
          </w:tcPr>
          <w:p w14:paraId="79EBB68D">
            <w:pPr>
              <w:autoSpaceDE w:val="0"/>
              <w:autoSpaceDN w:val="0"/>
              <w:adjustRightInd w:val="0"/>
              <w:rPr>
                <w:rFonts w:hAnsi="宋体" w:cs="宋体"/>
                <w:color w:val="auto"/>
                <w:spacing w:val="-20"/>
                <w:szCs w:val="24"/>
                <w:highlight w:val="none"/>
              </w:rPr>
            </w:pPr>
            <w:r>
              <w:rPr>
                <w:rFonts w:hint="eastAsia" w:hAnsi="宋体" w:cs="宋体"/>
                <w:color w:val="auto"/>
                <w:spacing w:val="-20"/>
                <w:szCs w:val="24"/>
                <w:highlight w:val="none"/>
              </w:rPr>
              <w:t>开户银行：</w:t>
            </w:r>
          </w:p>
        </w:tc>
        <w:tc>
          <w:tcPr>
            <w:tcW w:w="4202" w:type="dxa"/>
            <w:noWrap w:val="0"/>
            <w:vAlign w:val="center"/>
          </w:tcPr>
          <w:p w14:paraId="1C026438">
            <w:pPr>
              <w:autoSpaceDE w:val="0"/>
              <w:autoSpaceDN w:val="0"/>
              <w:adjustRightInd w:val="0"/>
              <w:rPr>
                <w:rFonts w:hAnsi="宋体" w:cs="宋体"/>
                <w:color w:val="auto"/>
                <w:spacing w:val="-20"/>
                <w:szCs w:val="24"/>
                <w:highlight w:val="none"/>
              </w:rPr>
            </w:pPr>
            <w:r>
              <w:rPr>
                <w:rFonts w:hint="eastAsia" w:hAnsi="宋体" w:cs="宋体"/>
                <w:color w:val="auto"/>
                <w:spacing w:val="-20"/>
                <w:szCs w:val="24"/>
                <w:highlight w:val="none"/>
              </w:rPr>
              <w:t>开户银行：</w:t>
            </w:r>
          </w:p>
        </w:tc>
      </w:tr>
      <w:tr w14:paraId="6A713F08">
        <w:tblPrEx>
          <w:tblCellMar>
            <w:top w:w="0" w:type="dxa"/>
            <w:left w:w="108" w:type="dxa"/>
            <w:bottom w:w="0" w:type="dxa"/>
            <w:right w:w="108" w:type="dxa"/>
          </w:tblCellMar>
        </w:tblPrEx>
        <w:trPr>
          <w:trHeight w:val="680" w:hRule="exact"/>
          <w:jc w:val="center"/>
        </w:trPr>
        <w:tc>
          <w:tcPr>
            <w:tcW w:w="4201" w:type="dxa"/>
            <w:noWrap w:val="0"/>
            <w:vAlign w:val="center"/>
          </w:tcPr>
          <w:p w14:paraId="1D53C201">
            <w:pPr>
              <w:autoSpaceDE w:val="0"/>
              <w:autoSpaceDN w:val="0"/>
              <w:adjustRightInd w:val="0"/>
              <w:outlineLvl w:val="9"/>
              <w:rPr>
                <w:rFonts w:hAnsi="宋体" w:cs="宋体"/>
                <w:color w:val="auto"/>
                <w:spacing w:val="-20"/>
                <w:szCs w:val="24"/>
                <w:highlight w:val="none"/>
              </w:rPr>
            </w:pPr>
            <w:r>
              <w:rPr>
                <w:rFonts w:hint="eastAsia" w:hAnsi="宋体" w:cs="宋体"/>
                <w:color w:val="auto"/>
                <w:spacing w:val="-20"/>
                <w:szCs w:val="24"/>
                <w:highlight w:val="none"/>
              </w:rPr>
              <w:t>日期：</w:t>
            </w:r>
          </w:p>
        </w:tc>
        <w:tc>
          <w:tcPr>
            <w:tcW w:w="4202" w:type="dxa"/>
            <w:noWrap w:val="0"/>
            <w:vAlign w:val="center"/>
          </w:tcPr>
          <w:p w14:paraId="538D6C39">
            <w:pPr>
              <w:autoSpaceDE w:val="0"/>
              <w:autoSpaceDN w:val="0"/>
              <w:adjustRightInd w:val="0"/>
              <w:outlineLvl w:val="9"/>
              <w:rPr>
                <w:rFonts w:hAnsi="宋体" w:cs="宋体"/>
                <w:color w:val="auto"/>
                <w:spacing w:val="-20"/>
                <w:szCs w:val="24"/>
                <w:highlight w:val="none"/>
              </w:rPr>
            </w:pPr>
            <w:r>
              <w:rPr>
                <w:rFonts w:hint="eastAsia" w:hAnsi="宋体" w:cs="宋体"/>
                <w:color w:val="auto"/>
                <w:spacing w:val="-20"/>
                <w:szCs w:val="24"/>
                <w:highlight w:val="none"/>
              </w:rPr>
              <w:t>日期：</w:t>
            </w:r>
          </w:p>
        </w:tc>
      </w:tr>
    </w:tbl>
    <w:p w14:paraId="5CE6F873"/>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4D2727"/>
    <w:rsid w:val="724D27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120" w:beforeLines="0" w:after="120" w:afterLines="0" w:line="360" w:lineRule="auto"/>
      <w:jc w:val="center"/>
      <w:outlineLvl w:val="0"/>
    </w:pPr>
    <w:rPr>
      <w:b/>
      <w:bCs/>
      <w:kern w:val="44"/>
      <w:sz w:val="30"/>
      <w:szCs w:val="44"/>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HTML Preformatted"/>
    <w:basedOn w:val="1"/>
    <w:unhideWhenUsed/>
    <w:qFormat/>
    <w:uiPriority w:val="0"/>
    <w:pPr>
      <w:spacing w:beforeLines="0" w:afterLines="0"/>
      <w:jc w:val="left"/>
    </w:pPr>
    <w:rPr>
      <w:rFonts w:hint="default" w:ascii="Arial" w:hAnsi="Arial" w:cs="Arial"/>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2026-04-27T03:10:00Z</dcterms:created>
  <dc:creator>宝贝</dc:creator>
  <cp:lastModifiedBy>宝贝</cp:lastModifiedBy>
  <dcterms:modified xsi:type="dcterms:W3CDTF">2026-04-27T03:13:44Z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756F00E0A2DE48B18596DC255F14A4B1_11</vt:lpwstr>
  </property>
  <property fmtid="{D5CDD505-2E9C-101B-9397-08002B2CF9AE}" pid="4" name="KSOTemplateDocerSaveRecord">
    <vt:lpwstr>eyJoZGlkIjoiNjg2NjllYmY1Njc2ODM3YWZiNTk3NDE5MDA4MzkzZTEiLCJ1c2VySWQiOiIxMDQwMzkxOTA1In0=</vt:lpwstr>
  </property>
</Properties>
</file>