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未央区2024年度区级应急成品粮食储备项目</w:t>
      </w:r>
    </w:p>
    <w:p>
      <w:pPr>
        <w:pStyle w:val="null3"/>
        <w:jc w:val="center"/>
        <w:outlineLvl w:val="2"/>
      </w:pPr>
      <w:r>
        <w:rPr>
          <w:b/>
          <w:sz w:val="28"/>
        </w:rPr>
        <w:t>采购项目编号：</w:t>
      </w:r>
      <w:r>
        <w:rPr>
          <w:b/>
          <w:sz w:val="28"/>
        </w:rPr>
        <w:t>ZJXG2024003</w:t>
      </w:r>
      <w:r>
        <w:br/>
      </w:r>
      <w:r>
        <w:br/>
      </w:r>
      <w:r>
        <w:br/>
      </w:r>
    </w:p>
    <w:p>
      <w:pPr>
        <w:pStyle w:val="null3"/>
        <w:jc w:val="center"/>
        <w:outlineLvl w:val="2"/>
      </w:pPr>
      <w:r>
        <w:rPr>
          <w:b/>
          <w:sz w:val="28"/>
        </w:rPr>
        <w:t>西安市未央区发展和改革委员会</w:t>
      </w:r>
    </w:p>
    <w:p>
      <w:pPr>
        <w:pStyle w:val="null3"/>
        <w:jc w:val="center"/>
        <w:outlineLvl w:val="2"/>
      </w:pPr>
      <w:r>
        <w:rPr>
          <w:b/>
          <w:sz w:val="28"/>
        </w:rPr>
        <w:t>陕西中鉴项目管理有限公司</w:t>
      </w:r>
      <w:r>
        <w:rPr>
          <w:b/>
          <w:sz w:val="28"/>
        </w:rPr>
        <w:t>共同编制</w:t>
      </w:r>
    </w:p>
    <w:p>
      <w:pPr>
        <w:pStyle w:val="null3"/>
        <w:jc w:val="center"/>
        <w:outlineLvl w:val="2"/>
      </w:pPr>
      <w:r>
        <w:rPr>
          <w:b/>
          <w:sz w:val="28"/>
        </w:rPr>
        <w:t>2024年01月09日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陕西中鉴项目管理有限公司</w:t>
      </w:r>
      <w:r>
        <w:rPr/>
        <w:t>（以下简称“代理机构”）受</w:t>
      </w:r>
      <w:r>
        <w:rPr/>
        <w:t>西安市未央区发展和改革委员会</w:t>
      </w:r>
      <w:r>
        <w:rPr/>
        <w:t>委托，拟对</w:t>
      </w:r>
      <w:r>
        <w:rPr/>
        <w:t>未央区2024年度区级应急成品粮食储备项目</w:t>
      </w:r>
      <w:r>
        <w:rPr/>
        <w:t>采用竞争性磋商采购方式进行采购，兹邀请供应商参加本项目的竞争性磋商。</w:t>
      </w:r>
    </w:p>
    <w:p>
      <w:pPr>
        <w:pStyle w:val="null3"/>
        <w:outlineLvl w:val="2"/>
      </w:pPr>
      <w:r>
        <w:rPr>
          <w:b/>
          <w:sz w:val="28"/>
        </w:rPr>
        <w:t>一、项目编号：</w:t>
      </w:r>
      <w:r>
        <w:rPr>
          <w:b/>
          <w:sz w:val="28"/>
        </w:rPr>
        <w:t>ZJXG2024003</w:t>
      </w:r>
    </w:p>
    <w:p>
      <w:pPr>
        <w:pStyle w:val="null3"/>
        <w:outlineLvl w:val="2"/>
      </w:pPr>
      <w:r>
        <w:rPr>
          <w:b/>
          <w:sz w:val="28"/>
        </w:rPr>
        <w:t>二、项目名称：</w:t>
      </w:r>
      <w:r>
        <w:rPr>
          <w:b/>
          <w:sz w:val="28"/>
        </w:rPr>
        <w:t>未央区2024年度区级应急成品粮食储备项目</w:t>
      </w:r>
    </w:p>
    <w:p>
      <w:pPr>
        <w:pStyle w:val="null3"/>
        <w:outlineLvl w:val="2"/>
      </w:pPr>
      <w:r>
        <w:rPr>
          <w:b/>
          <w:sz w:val="28"/>
        </w:rPr>
        <w:t>三、磋商项目简介</w:t>
      </w:r>
    </w:p>
    <w:p>
      <w:pPr>
        <w:pStyle w:val="null3"/>
        <w:ind w:firstLine="480"/>
      </w:pPr>
      <w:r>
        <w:rPr/>
        <w:t>为推进经济社会发展，保障粮食有效供给，维护市场稳定，完成未央区1875吨成品储备粮承储任务。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采购包1（未央区2024年度区级应急成品粮食储备项目）：属于专门面向中小企业采购。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t>2、财务状况报告：提供2021或2022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t>3、税收缴纳证明：提供2023年1月至今已缴纳的1个月的纳税证明或完税证明，依法免税的单位应提供相关证明材料。供应商需在项目电子化交易系统中按要求上传相应证明文件并进行电子签章。</w:t>
      </w:r>
    </w:p>
    <w:p>
      <w:pPr>
        <w:pStyle w:val="null3"/>
      </w:pPr>
      <w:r>
        <w:rPr/>
        <w:t>4、社会保障资金缴纳证明：提供2023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t>9、其他要求：（1）单位负责人为同一人或者存在直接控股、管理关系的不同供应商不得参加同一合同项下的政府采购活动。 供应商需在项目电子化交易系统中按要求上传相应证明文件并进行电子签章。 （2）为本项目提供整体设计、规范编制或者项目管理、监理、检测等服务的供应商，不得再参加该采购项目的其他采购活动。供应商需在项目电子化交易系统中按要求上传相应证明文件并进行电子签章。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t>11、是否接受联合体投标：本项目不接受联合体投标，供应商需在项目电子化交易系统中按要求上传相应证明文件并进行电子签章。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西安市未央区发展和改革委员会</w:t>
      </w:r>
    </w:p>
    <w:p>
      <w:pPr>
        <w:pStyle w:val="null3"/>
      </w:pPr>
      <w:r>
        <w:rPr/>
        <w:t xml:space="preserve"> 地址： </w:t>
      </w:r>
      <w:r>
        <w:rPr/>
        <w:t>未央路未央大厦B座12层</w:t>
      </w:r>
    </w:p>
    <w:p>
      <w:pPr>
        <w:pStyle w:val="null3"/>
      </w:pPr>
      <w:r>
        <w:rPr/>
        <w:t xml:space="preserve"> 邮编： </w:t>
      </w:r>
      <w:r>
        <w:rPr/>
        <w:t>710000</w:t>
      </w:r>
    </w:p>
    <w:p>
      <w:pPr>
        <w:pStyle w:val="null3"/>
      </w:pPr>
      <w:r>
        <w:rPr/>
        <w:t xml:space="preserve"> 联系人： </w:t>
      </w:r>
      <w:r>
        <w:rPr/>
        <w:t>西安市未央区发展和改革委员会经办</w:t>
      </w:r>
    </w:p>
    <w:p>
      <w:pPr>
        <w:pStyle w:val="null3"/>
      </w:pPr>
      <w:r>
        <w:rPr/>
        <w:t xml:space="preserve"> 联系电话： </w:t>
      </w:r>
      <w:r>
        <w:rPr/>
        <w:t>029-81611782</w:t>
      </w:r>
    </w:p>
    <w:p>
      <w:pPr>
        <w:pStyle w:val="null3"/>
        <w:outlineLvl w:val="3"/>
      </w:pPr>
      <w:r>
        <w:rPr>
          <w:b/>
          <w:sz w:val="24"/>
        </w:rPr>
        <w:t>代理机构：</w:t>
      </w:r>
      <w:r>
        <w:rPr>
          <w:b/>
          <w:sz w:val="24"/>
        </w:rPr>
        <w:t>陕西中鉴项目管理有限公司</w:t>
      </w:r>
    </w:p>
    <w:p>
      <w:pPr>
        <w:pStyle w:val="null3"/>
      </w:pPr>
      <w:r>
        <w:rPr/>
        <w:t xml:space="preserve"> 地址： </w:t>
      </w:r>
      <w:r>
        <w:rPr/>
        <w:t>陕西省西安市雁塔区陕西省西安市高新区丈八街办高新三路8号1幢10913室</w:t>
      </w:r>
    </w:p>
    <w:p>
      <w:pPr>
        <w:pStyle w:val="null3"/>
      </w:pPr>
      <w:r>
        <w:rPr/>
        <w:t xml:space="preserve"> 邮编： </w:t>
      </w:r>
      <w:r>
        <w:rPr/>
        <w:t>710000</w:t>
      </w:r>
    </w:p>
    <w:p>
      <w:pPr>
        <w:pStyle w:val="null3"/>
      </w:pPr>
      <w:r>
        <w:rPr/>
        <w:t xml:space="preserve"> 联系人： </w:t>
      </w:r>
      <w:r>
        <w:rPr/>
        <w:t>曹增辉</w:t>
      </w:r>
    </w:p>
    <w:p>
      <w:pPr>
        <w:pStyle w:val="null3"/>
      </w:pPr>
      <w:r>
        <w:rPr/>
        <w:t xml:space="preserve"> 联系电话： </w:t>
      </w:r>
      <w:r>
        <w:rPr/>
        <w:t>029-88229191</w:t>
      </w:r>
    </w:p>
    <w:p>
      <w:pPr>
        <w:pStyle w:val="null3"/>
        <w:outlineLvl w:val="3"/>
      </w:pPr>
      <w:r>
        <w:rPr>
          <w:b/>
          <w:sz w:val="24"/>
        </w:rPr>
        <w:t>采购监督机构：</w:t>
      </w:r>
      <w:r>
        <w:rPr>
          <w:b/>
          <w:sz w:val="24"/>
        </w:rPr>
        <w:t>西安市未央区政府采购管理股</w:t>
      </w:r>
    </w:p>
    <w:p>
      <w:pPr>
        <w:pStyle w:val="null3"/>
        <w:ind w:firstLine="480"/>
      </w:pPr>
      <w:r>
        <w:rPr/>
        <w:t>联系人：</w:t>
      </w:r>
      <w:r>
        <w:rPr/>
        <w:t>西安市未央区政府采购管理股经办</w:t>
      </w:r>
    </w:p>
    <w:p>
      <w:pPr>
        <w:pStyle w:val="null3"/>
        <w:ind w:firstLine="480"/>
      </w:pPr>
      <w:r>
        <w:rPr/>
        <w:t>联系电话：</w:t>
      </w:r>
      <w:r>
        <w:rPr/>
        <w:t>029-86276259</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标代理服务费参照国家计委颁发的《招标代理服务收费管理暂行办法》（计价格〔2002〕1980号）和国家发展改革委员会办公厅颁发的《关于招标代理服务收费有关问题的通知》（发改办价格〔2003〕857号）的文件中工程类收费标准收取。 银行户名：陕西中鉴项目管理有限公司 开户行：招商银行股份有限公司西安分行营业部 账号：129911072510777 联系电话：029-89193153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西安市未央区发展和改革委员会</w:t>
      </w:r>
      <w:r>
        <w:rPr/>
        <w:t>和</w:t>
      </w:r>
      <w:r>
        <w:rPr/>
        <w:t>陕西中鉴项目管理有限公司</w:t>
      </w:r>
      <w:r>
        <w:rPr/>
        <w:t>享有。对磋商文件中供应商参加本次政府采购活动应当具备的条件，磋商项目技术、服务、商务及其他要求，评审细则及标准由</w:t>
      </w:r>
      <w:r>
        <w:rPr/>
        <w:t>西安市未央区发展和改革委员会</w:t>
      </w:r>
      <w:r>
        <w:rPr/>
        <w:t>负责解释。除上述磋商文件内容，其他内容由</w:t>
      </w:r>
      <w:r>
        <w:rPr/>
        <w:t>陕西中鉴项目管理有限公司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西安市未央区发展和改革委员会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按照竞争性磋商文件及成交供应商竞争性磋商响应文件进行履约验收。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陕西中鉴项目管理有限公司</w:t>
      </w:r>
      <w:r>
        <w:rPr/>
        <w:t xml:space="preserve"> 负责答复；供应商对除采购需求外的采购文件的询问、质疑由</w:t>
      </w:r>
      <w:r>
        <w:rPr/>
        <w:t>陕西中鉴项目管理有限公司</w:t>
      </w:r>
      <w:r>
        <w:rPr/>
        <w:t xml:space="preserve"> 负责答复；供应商对采购过程、采购结果的询问、质疑由 </w:t>
      </w:r>
      <w:r>
        <w:rPr/>
        <w:t>陕西中鉴项目管理有限公司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联系人：曹工</w:t>
      </w:r>
    </w:p>
    <w:p>
      <w:pPr>
        <w:pStyle w:val="null3"/>
      </w:pPr>
      <w:r>
        <w:rPr/>
        <w:t>联系电话：029-88229191</w:t>
      </w:r>
    </w:p>
    <w:p>
      <w:pPr>
        <w:pStyle w:val="null3"/>
      </w:pPr>
      <w:r>
        <w:rPr/>
        <w:t>地址：陕西省西安市高新区丈八街办高新三路8号913室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为推进经济社会发展，保障粮食有效供给，维护市场稳定，完成未央区1875吨成品储备粮承储任务。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承储区级应急成品储备粮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标的名称：承储区级应急成品储备粮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b/>
                <w:sz w:val="24"/>
              </w:rPr>
              <w:t>项目概况</w:t>
            </w:r>
          </w:p>
          <w:p>
            <w:pPr>
              <w:pStyle w:val="null3"/>
              <w:spacing w:before="120" w:after="120"/>
              <w:ind w:firstLine="480"/>
              <w:jc w:val="both"/>
            </w:pPr>
            <w:r>
              <w:rPr>
                <w:rFonts w:ascii="宋体" w:hAnsi="宋体" w:cs="宋体" w:eastAsia="宋体"/>
                <w:sz w:val="24"/>
              </w:rPr>
              <w:t>为推进经济社会发展，保障粮食有效供给，维护市场稳定，完成未央区</w:t>
            </w:r>
            <w:r>
              <w:rPr>
                <w:rFonts w:ascii="宋体" w:hAnsi="宋体" w:cs="宋体" w:eastAsia="宋体"/>
                <w:sz w:val="24"/>
              </w:rPr>
              <w:t>1875吨</w:t>
            </w:r>
            <w:r>
              <w:rPr>
                <w:rFonts w:ascii="宋体" w:hAnsi="宋体" w:cs="宋体" w:eastAsia="宋体"/>
                <w:sz w:val="24"/>
              </w:rPr>
              <w:t>成品储备粮承储任务。</w:t>
            </w:r>
          </w:p>
          <w:p>
            <w:pPr>
              <w:pStyle w:val="null3"/>
              <w:numPr>
                <w:ilvl w:val="0"/>
                <w:numId w:val="1"/>
              </w:numPr>
              <w:jc w:val="both"/>
            </w:pPr>
            <w:r>
              <w:rPr>
                <w:rFonts w:ascii="宋体" w:hAnsi="宋体" w:cs="宋体" w:eastAsia="宋体"/>
                <w:b/>
                <w:sz w:val="24"/>
              </w:rPr>
              <w:t>服务</w:t>
            </w:r>
            <w:r>
              <w:rPr>
                <w:rFonts w:ascii="宋体" w:hAnsi="宋体" w:cs="宋体" w:eastAsia="宋体"/>
                <w:b/>
                <w:sz w:val="24"/>
              </w:rPr>
              <w:t>要求</w:t>
            </w:r>
          </w:p>
          <w:p>
            <w:pPr>
              <w:pStyle w:val="null3"/>
              <w:ind w:firstLine="480"/>
              <w:jc w:val="left"/>
            </w:pPr>
            <w:r>
              <w:rPr>
                <w:rFonts w:ascii="宋体" w:hAnsi="宋体" w:cs="宋体" w:eastAsia="宋体"/>
                <w:sz w:val="24"/>
              </w:rPr>
              <w:t>1.供应商应保证承储区级应急储备粮中小麦粉必须符合GB/T 1355-2021《小麦粉》中标准粉（含）以上标准要求，标识为面条粉、馒头粉等专用粉或标识为行业标准、团体标准、企业标准的小麦粉应符合前述质量要求。</w:t>
            </w:r>
          </w:p>
          <w:p>
            <w:pPr>
              <w:pStyle w:val="null3"/>
              <w:ind w:firstLine="480"/>
              <w:jc w:val="left"/>
            </w:pPr>
            <w:r>
              <w:rPr>
                <w:rFonts w:ascii="宋体" w:hAnsi="宋体" w:cs="宋体" w:eastAsia="宋体"/>
                <w:sz w:val="24"/>
              </w:rPr>
              <w:t>2.包装形态储存区级应急成品储备粮包装规格为每袋25公斤及其以下单位规格和计量误差应当符合国家有关规定。且项目后期粮食外运时所产生的的运输费用由供应商自行承担。</w:t>
            </w:r>
          </w:p>
          <w:p>
            <w:pPr>
              <w:pStyle w:val="null3"/>
              <w:ind w:firstLine="480"/>
              <w:jc w:val="left"/>
            </w:pPr>
            <w:r>
              <w:rPr>
                <w:rFonts w:ascii="宋体" w:hAnsi="宋体" w:cs="宋体" w:eastAsia="宋体"/>
                <w:sz w:val="24"/>
              </w:rPr>
              <w:t>3.承储企业按照“保持规模、保证质量、先入先出、 均衡有序”的原则，在保质期内自主开展市级成品储备粮轮换工作。包装形态储存的区级应急成品储备小麦粉，每年高温时段（6 月-8 月）库存数量不低于承储计划数量的80%，其余月份库存数量任何时点须足额达到承储计划数量。以散存形态或原粮形态储存的区级成品储备小麦粉，在确保实物数量质量的前提下，合理安排轮换工作。全年任何时点库存数量须足额达到承储计划数量。</w:t>
            </w:r>
          </w:p>
          <w:p>
            <w:pPr>
              <w:pStyle w:val="null3"/>
              <w:ind w:firstLine="480"/>
              <w:jc w:val="left"/>
            </w:pPr>
            <w:r>
              <w:rPr>
                <w:rFonts w:ascii="宋体" w:hAnsi="宋体" w:cs="宋体" w:eastAsia="宋体"/>
                <w:sz w:val="24"/>
              </w:rPr>
              <w:t>4.承储企业应建立健全区级应急成品储备粮出入库、质量、储存、检化验和防虫、防火、防盗、防汛等安全管理制度，并配备必要安全防护措施。</w:t>
            </w:r>
          </w:p>
          <w:p>
            <w:pPr>
              <w:pStyle w:val="null3"/>
              <w:ind w:firstLine="480"/>
              <w:jc w:val="left"/>
            </w:pPr>
            <w:r>
              <w:rPr>
                <w:rFonts w:ascii="宋体" w:hAnsi="宋体" w:cs="宋体" w:eastAsia="宋体"/>
                <w:sz w:val="24"/>
              </w:rPr>
              <w:t>5.区级应急成品储备粮储存仓房应符合国家《粮油</w:t>
            </w:r>
            <w:r>
              <w:rPr>
                <w:rFonts w:ascii="宋体" w:hAnsi="宋体" w:cs="宋体" w:eastAsia="宋体"/>
                <w:sz w:val="24"/>
              </w:rPr>
              <w:t>储藏技术规范》对粮仓的要求，并取得区级储备粮承储资格。</w:t>
            </w:r>
          </w:p>
          <w:p>
            <w:pPr>
              <w:pStyle w:val="null3"/>
              <w:ind w:firstLine="480"/>
              <w:jc w:val="left"/>
            </w:pPr>
            <w:r>
              <w:rPr>
                <w:rFonts w:ascii="宋体" w:hAnsi="宋体" w:cs="宋体" w:eastAsia="宋体"/>
                <w:sz w:val="24"/>
              </w:rPr>
              <w:t>6.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80"/>
              <w:jc w:val="left"/>
            </w:pPr>
            <w:r>
              <w:rPr>
                <w:rFonts w:ascii="宋体" w:hAnsi="宋体" w:cs="宋体" w:eastAsia="宋体"/>
                <w:sz w:val="24"/>
              </w:rPr>
              <w:t>7.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pPr>
              <w:pStyle w:val="null3"/>
              <w:ind w:firstLine="480"/>
              <w:jc w:val="left"/>
            </w:pPr>
            <w:r>
              <w:rPr>
                <w:rFonts w:ascii="宋体" w:hAnsi="宋体" w:cs="宋体" w:eastAsia="宋体"/>
                <w:sz w:val="24"/>
              </w:rPr>
              <w:t>9.区级成品储备粮实行专人保管、专账记载。承储企业应当安排经培训考核合格的人员从事区级成品储备粮保管工作，按照成品粮油储藏有关要求，定期进行检查，分析粮情，做好检测记录，发现问题及时处理。必须按照有关统计、财务、保管制度的要求，建立健全区级成品储备粮专账，并定期进行核查，做到账目齐全、装订规范、内容真实、账账相符、账实相符。</w:t>
            </w:r>
          </w:p>
          <w:p>
            <w:pPr>
              <w:pStyle w:val="null3"/>
              <w:ind w:firstLine="480"/>
              <w:jc w:val="left"/>
            </w:pPr>
            <w:r>
              <w:rPr>
                <w:rFonts w:ascii="宋体" w:hAnsi="宋体" w:cs="宋体" w:eastAsia="宋体"/>
                <w:sz w:val="24"/>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市粮质量检验中心受区发展和改革委员会（区粮食和物资储备局）的委托，负责对储存的区级应急成品储备粮质量进行定期检验。</w:t>
            </w:r>
          </w:p>
          <w:p>
            <w:pPr>
              <w:pStyle w:val="null3"/>
              <w:ind w:firstLine="480"/>
              <w:jc w:val="left"/>
            </w:pPr>
            <w:r>
              <w:rPr>
                <w:rFonts w:ascii="宋体" w:hAnsi="宋体" w:cs="宋体" w:eastAsia="宋体"/>
                <w:sz w:val="24"/>
              </w:rPr>
              <w:t>11.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pPr>
              <w:pStyle w:val="null3"/>
              <w:ind w:firstLine="480"/>
              <w:jc w:val="left"/>
            </w:pPr>
            <w:r>
              <w:rPr>
                <w:rFonts w:ascii="宋体" w:hAnsi="宋体" w:cs="宋体" w:eastAsia="宋体"/>
                <w:sz w:val="24"/>
              </w:rPr>
              <w:t>12.在应对突发事件时，承储企业必须执行区粮食行政管理部门指令，服从政府粮食宏观调控措施或应急措施。必要时，区粮食行政管理部门根据《西安市未央区粮食应急预案》规定对承储企业的自有成品粮进行采购，按指定价格组织应急供应，稳定粮食市场。</w:t>
            </w:r>
          </w:p>
          <w:p>
            <w:pPr>
              <w:pStyle w:val="null3"/>
              <w:ind w:firstLine="480"/>
              <w:jc w:val="both"/>
            </w:pPr>
            <w:r>
              <w:rPr>
                <w:rFonts w:ascii="宋体" w:hAnsi="宋体" w:cs="宋体" w:eastAsia="宋体"/>
                <w:sz w:val="24"/>
              </w:rPr>
              <w:t>13.区粮食和储备行政管理部门加强对区级成品储备粮承储情况的监督检查，依法查处承储活动中的违法行为。</w:t>
            </w:r>
          </w:p>
          <w:p>
            <w:pPr>
              <w:pStyle w:val="null3"/>
              <w:ind w:firstLine="480"/>
              <w:jc w:val="both"/>
            </w:pPr>
            <w:r>
              <w:rPr>
                <w:rFonts w:ascii="宋体" w:hAnsi="宋体" w:cs="宋体" w:eastAsia="宋体"/>
                <w:sz w:val="24"/>
              </w:rPr>
              <w:t>14.加强对区级成品储备粮的日常管理和检查，原则上每季度全面检查一次。在区级成品储备粮日常管理中，发现区级储备粮数量、质量、储存安全、轮换管理等方面存在问题的，应当予以纠正或者处理，问题严重或者紧急的，应及时将检查情况向区政府进行书面报告。</w:t>
            </w:r>
          </w:p>
          <w:p>
            <w:pPr>
              <w:pStyle w:val="null3"/>
              <w:numPr>
                <w:ilvl w:val="0"/>
                <w:numId w:val="1"/>
              </w:numPr>
              <w:jc w:val="left"/>
            </w:pPr>
            <w:r>
              <w:rPr>
                <w:rFonts w:ascii="宋体" w:hAnsi="宋体" w:cs="宋体" w:eastAsia="宋体"/>
                <w:b/>
                <w:sz w:val="24"/>
              </w:rPr>
              <w:t>商务要求</w:t>
            </w:r>
          </w:p>
          <w:p>
            <w:pPr>
              <w:pStyle w:val="null3"/>
              <w:ind w:firstLine="480"/>
              <w:jc w:val="both"/>
            </w:pPr>
            <w:r>
              <w:rPr>
                <w:rFonts w:ascii="宋体" w:hAnsi="宋体" w:cs="宋体" w:eastAsia="宋体"/>
                <w:sz w:val="24"/>
              </w:rPr>
              <w:t>3.1</w:t>
            </w:r>
            <w:r>
              <w:rPr>
                <w:rFonts w:ascii="宋体" w:hAnsi="宋体" w:cs="宋体" w:eastAsia="宋体"/>
                <w:sz w:val="24"/>
              </w:rPr>
              <w:t>服务期限：自合同签订之日起一年。</w:t>
            </w:r>
          </w:p>
          <w:p>
            <w:pPr>
              <w:pStyle w:val="null3"/>
              <w:spacing w:before="120" w:after="120"/>
              <w:ind w:firstLine="480"/>
              <w:jc w:val="both"/>
            </w:pPr>
            <w:r>
              <w:rPr>
                <w:rFonts w:ascii="宋体" w:hAnsi="宋体" w:cs="宋体" w:eastAsia="宋体"/>
                <w:sz w:val="24"/>
              </w:rPr>
              <w:t>3.2服务标准：合格</w:t>
            </w:r>
          </w:p>
          <w:p>
            <w:pPr>
              <w:pStyle w:val="null3"/>
              <w:spacing w:before="120" w:after="120"/>
              <w:ind w:firstLine="480"/>
              <w:jc w:val="both"/>
            </w:pPr>
            <w:r>
              <w:rPr>
                <w:rFonts w:ascii="宋体" w:hAnsi="宋体" w:cs="宋体" w:eastAsia="宋体"/>
                <w:sz w:val="24"/>
              </w:rPr>
              <w:t>3.3付款方式：采购人按季度向成交单位支付费用。</w:t>
            </w:r>
          </w:p>
          <w:p>
            <w:pPr>
              <w:pStyle w:val="null3"/>
              <w:spacing w:before="120" w:after="120"/>
              <w:ind w:firstLine="480"/>
              <w:jc w:val="both"/>
            </w:pPr>
            <w:r>
              <w:rPr>
                <w:rFonts w:ascii="宋体" w:hAnsi="宋体" w:cs="宋体" w:eastAsia="宋体"/>
                <w:sz w:val="24"/>
              </w:rPr>
              <w:t>3.4服务范围：</w:t>
            </w:r>
            <w:r>
              <w:rPr>
                <w:rFonts w:ascii="宋体" w:hAnsi="宋体" w:cs="宋体" w:eastAsia="宋体"/>
                <w:sz w:val="24"/>
              </w:rPr>
              <w:t>完成未央区</w:t>
            </w:r>
            <w:r>
              <w:rPr>
                <w:rFonts w:ascii="宋体" w:hAnsi="宋体" w:cs="宋体" w:eastAsia="宋体"/>
                <w:sz w:val="24"/>
              </w:rPr>
              <w:t>1875吨</w:t>
            </w:r>
            <w:r>
              <w:rPr>
                <w:rFonts w:ascii="宋体" w:hAnsi="宋体" w:cs="宋体" w:eastAsia="宋体"/>
                <w:sz w:val="24"/>
              </w:rPr>
              <w:t>成品储备粮承储任务。</w:t>
            </w:r>
          </w:p>
          <w:p>
            <w:pPr>
              <w:pStyle w:val="null3"/>
              <w:spacing w:before="120" w:after="120"/>
              <w:ind w:firstLine="480"/>
              <w:jc w:val="both"/>
            </w:pPr>
            <w:r>
              <w:rPr>
                <w:rFonts w:ascii="宋体" w:hAnsi="宋体" w:cs="宋体" w:eastAsia="宋体"/>
                <w:sz w:val="24"/>
              </w:rPr>
              <w:t>3.5服务要求：满足本次采购项目所有服务内容</w:t>
            </w:r>
            <w:r>
              <w:rPr>
                <w:rFonts w:ascii="宋体" w:hAnsi="宋体" w:cs="宋体" w:eastAsia="宋体"/>
                <w:sz w:val="24"/>
              </w:rPr>
              <w:t>。</w:t>
            </w:r>
          </w:p>
        </w:tc>
      </w:tr>
    </w:tbl>
    <w:p>
      <w:pPr>
        <w:pStyle w:val="null3"/>
        <w:outlineLvl w:val="2"/>
      </w:pPr>
      <w:r>
        <w:rPr>
          <w:b/>
          <w:sz w:val="28"/>
        </w:rPr>
        <w:t>3.2.3人员配置要求</w:t>
      </w:r>
    </w:p>
    <w:p>
      <w:pPr>
        <w:pStyle w:val="null3"/>
      </w:pPr>
      <w:r>
        <w:rPr/>
        <w:t>采购包1：</w:t>
      </w:r>
    </w:p>
    <w:p>
      <w:pPr>
        <w:pStyle w:val="null3"/>
      </w:pPr>
      <w:r>
        <w:rPr/>
        <w:t>详见采购内容及要求</w:t>
      </w:r>
    </w:p>
    <w:p>
      <w:pPr>
        <w:pStyle w:val="null3"/>
        <w:outlineLvl w:val="2"/>
      </w:pPr>
      <w:r>
        <w:rPr>
          <w:b/>
          <w:sz w:val="28"/>
        </w:rPr>
        <w:t>3.2.4设施设备要求</w:t>
      </w:r>
    </w:p>
    <w:p>
      <w:pPr>
        <w:pStyle w:val="null3"/>
      </w:pPr>
      <w:r>
        <w:rPr/>
        <w:t>采购包1：</w:t>
      </w:r>
    </w:p>
    <w:p>
      <w:pPr>
        <w:pStyle w:val="null3"/>
      </w:pPr>
      <w:r>
        <w:rPr/>
        <w:t>详见采购内容及要求</w:t>
      </w:r>
    </w:p>
    <w:p>
      <w:pPr>
        <w:pStyle w:val="null3"/>
        <w:outlineLvl w:val="2"/>
      </w:pPr>
      <w:r>
        <w:rPr>
          <w:b/>
          <w:sz w:val="28"/>
        </w:rPr>
        <w:t>3.2.5其他要求</w:t>
      </w:r>
    </w:p>
    <w:p>
      <w:pPr>
        <w:pStyle w:val="null3"/>
      </w:pPr>
      <w:r>
        <w:rPr/>
        <w:t>采购包1：</w:t>
      </w:r>
    </w:p>
    <w:p>
      <w:pPr>
        <w:pStyle w:val="null3"/>
      </w:pPr>
      <w:r>
        <w:rPr/>
        <w:t>详见采购内容及要求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合格</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采购人按季度向成交单位支付费用</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采购人按季度向成交单位支付费用</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采购人按季度向成交单位支付费用</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采购人按季度向成交单位支付费用</w:t>
      </w:r>
      <w:r>
        <w:rPr/>
        <w:t xml:space="preserve"> ，达到付款条件起 </w:t>
      </w:r>
      <w:r>
        <w:rPr/>
        <w:t>5</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合同执行过程中如发生争议，双方应及时协商解决，协商不成，双方均可向项目所在地人民法院起诉。</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2021年度或2022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供应商需在项目电子化交易系统中按要求上传相应证明文件并进行电子签章。</w:t>
            </w:r>
          </w:p>
        </w:tc>
        <w:tc>
          <w:tcPr>
            <w:tcW w:type="dxa" w:w="1661"/>
          </w:tcPr>
          <w:p>
            <w:pPr>
              <w:pStyle w:val="null3"/>
            </w:pPr>
            <w:r>
              <w:rPr/>
              <w:t>供应商应提交的相关资格证明材料 响应函 供应商资格证明文件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2021或2022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提供具有履行合同所必需的设备和专业技术能力的承诺。供应商需在项目电子化交易系统中按要求上传相应证明文件并进行电子签章。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6</w:t>
            </w:r>
          </w:p>
        </w:tc>
        <w:tc>
          <w:tcPr>
            <w:tcW w:type="dxa" w:w="2492"/>
          </w:tcPr>
          <w:p>
            <w:pPr>
              <w:pStyle w:val="null3"/>
            </w:pPr>
            <w:r>
              <w:rPr/>
              <w:t>前三年无重大违法记录声明</w:t>
            </w:r>
          </w:p>
        </w:tc>
        <w:tc>
          <w:tcPr>
            <w:tcW w:type="dxa" w:w="3322"/>
          </w:tcPr>
          <w:p>
            <w:pPr>
              <w:pStyle w:val="null3"/>
            </w:pPr>
            <w:r>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7</w:t>
            </w:r>
          </w:p>
        </w:tc>
        <w:tc>
          <w:tcPr>
            <w:tcW w:type="dxa" w:w="2492"/>
          </w:tcPr>
          <w:p>
            <w:pPr>
              <w:pStyle w:val="null3"/>
            </w:pPr>
            <w:r>
              <w:rPr/>
              <w:t>授权书被授权人身份证</w:t>
            </w:r>
          </w:p>
        </w:tc>
        <w:tc>
          <w:tcPr>
            <w:tcW w:type="dxa" w:w="3322"/>
          </w:tcPr>
          <w:p>
            <w:pPr>
              <w:pStyle w:val="null3"/>
            </w:pPr>
            <w:r>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t>供应商应提交的相关资格证明材料 供应商资格证明文件</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（1）单位负责人为同一人或者存在直接控股、管理关系的不同供应商不得参加同一合同项下的政府采购活动。 供应商需在项目电子化交易系统中按要求上传相应证明文件并进行电子签章。 （2）为本项目提供整体设计、规范编制或者项目管理、监理、检测等服务的供应商，不得再参加该采购项目的其他采购活动。供应商需在项目电子化交易系统中按要求上传相应证明文件并进行电子签章。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10</w:t>
            </w:r>
          </w:p>
        </w:tc>
        <w:tc>
          <w:tcPr>
            <w:tcW w:type="dxa" w:w="2492"/>
          </w:tcPr>
          <w:p>
            <w:pPr>
              <w:pStyle w:val="null3"/>
            </w:pPr>
            <w:r>
              <w:rPr/>
              <w:t>中小企业</w:t>
            </w:r>
          </w:p>
        </w:tc>
        <w:tc>
          <w:tcPr>
            <w:tcW w:type="dxa" w:w="3322"/>
          </w:tcPr>
          <w:p>
            <w:pPr>
              <w:pStyle w:val="null3"/>
            </w:pPr>
            <w:r>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11</w:t>
            </w:r>
          </w:p>
        </w:tc>
        <w:tc>
          <w:tcPr>
            <w:tcW w:type="dxa" w:w="2492"/>
          </w:tcPr>
          <w:p>
            <w:pPr>
              <w:pStyle w:val="null3"/>
            </w:pPr>
            <w:r>
              <w:rPr/>
              <w:t>是否接受联合体投标</w:t>
            </w:r>
          </w:p>
        </w:tc>
        <w:tc>
          <w:tcPr>
            <w:tcW w:type="dxa" w:w="3322"/>
          </w:tcPr>
          <w:p>
            <w:pPr>
              <w:pStyle w:val="null3"/>
            </w:pPr>
            <w:r>
              <w:rPr/>
              <w:t>本项目不接受联合体投标，供应商需在项目电子化交易系统中按要求上传相应证明文件并进行电子签章。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报价明显低于其他有效供应商报价算术平均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中小企业声明函 商务应答表 供应商应提交的相关资格证明材料 报价表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至少以下三处的项目名称、项目编号、标段与本项目完全一致： （1）竞争性磋商响应文件封面 （2）响应函 （3）法定代表人（主要负责人）委托授权书\身份证明</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3</w:t>
            </w:r>
          </w:p>
        </w:tc>
        <w:tc>
          <w:tcPr>
            <w:tcW w:type="dxa" w:w="2492"/>
          </w:tcPr>
          <w:p>
            <w:pPr>
              <w:pStyle w:val="null3"/>
            </w:pPr>
            <w:r>
              <w:rPr/>
              <w:t>竞争性磋商响应文件组成</w:t>
            </w:r>
          </w:p>
        </w:tc>
        <w:tc>
          <w:tcPr>
            <w:tcW w:type="dxa" w:w="3322"/>
          </w:tcPr>
          <w:p>
            <w:pPr>
              <w:pStyle w:val="null3"/>
            </w:pPr>
            <w:r>
              <w:rPr/>
              <w:t>竞争性磋商响应文件应包含竞争性磋商文件要求的所有内容</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4</w:t>
            </w:r>
          </w:p>
        </w:tc>
        <w:tc>
          <w:tcPr>
            <w:tcW w:type="dxa" w:w="2492"/>
          </w:tcPr>
          <w:p>
            <w:pPr>
              <w:pStyle w:val="null3"/>
            </w:pPr>
            <w:r>
              <w:rPr/>
              <w:t>签章或盖章</w:t>
            </w:r>
          </w:p>
        </w:tc>
        <w:tc>
          <w:tcPr>
            <w:tcW w:type="dxa" w:w="3322"/>
          </w:tcPr>
          <w:p>
            <w:pPr>
              <w:pStyle w:val="null3"/>
            </w:pPr>
            <w:r>
              <w:rPr/>
              <w:t>签章或盖章符合竞争性磋商文件要求，且无遗漏</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5</w:t>
            </w:r>
          </w:p>
        </w:tc>
        <w:tc>
          <w:tcPr>
            <w:tcW w:type="dxa" w:w="2492"/>
          </w:tcPr>
          <w:p>
            <w:pPr>
              <w:pStyle w:val="null3"/>
            </w:pPr>
            <w:r>
              <w:rPr/>
              <w:t>语言和计量单位</w:t>
            </w:r>
          </w:p>
        </w:tc>
        <w:tc>
          <w:tcPr>
            <w:tcW w:type="dxa" w:w="3322"/>
          </w:tcPr>
          <w:p>
            <w:pPr>
              <w:pStyle w:val="null3"/>
            </w:pPr>
            <w:r>
              <w:rPr/>
              <w:t>符合竞争性磋商文件的要求</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符合竞争性磋商文件的要求</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同时满足以下条款： （1）货币单位符合竞争性磋商文件要求 （2）报价符合唯一性要求 （3）未超出采购预算或最高限价</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完全响应竞争性磋商文件要求的各项技术（服务）、商务实质性条款</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9</w:t>
            </w:r>
          </w:p>
        </w:tc>
        <w:tc>
          <w:tcPr>
            <w:tcW w:type="dxa" w:w="2492"/>
          </w:tcPr>
          <w:p>
            <w:pPr>
              <w:pStyle w:val="null3"/>
            </w:pPr>
            <w:r>
              <w:rPr/>
              <w:t>合同条款响应</w:t>
            </w:r>
          </w:p>
        </w:tc>
        <w:tc>
          <w:tcPr>
            <w:tcW w:type="dxa" w:w="3322"/>
          </w:tcPr>
          <w:p>
            <w:pPr>
              <w:pStyle w:val="null3"/>
            </w:pPr>
            <w:r>
              <w:rPr/>
              <w:t>完全理解并响应竞争性磋商文件合同条款的要求，且未含有采购人不能接受的附加条件</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r>
        <w:tc>
          <w:tcPr>
            <w:tcW w:type="dxa" w:w="831"/>
          </w:tcPr>
          <w:p>
            <w:pPr>
              <w:pStyle w:val="null3"/>
            </w:pPr>
            <w:r>
              <w:rPr/>
              <w:t>10</w:t>
            </w:r>
          </w:p>
        </w:tc>
        <w:tc>
          <w:tcPr>
            <w:tcW w:type="dxa" w:w="2492"/>
          </w:tcPr>
          <w:p>
            <w:pPr>
              <w:pStyle w:val="null3"/>
            </w:pPr>
            <w:r>
              <w:rPr/>
              <w:t>其他</w:t>
            </w:r>
          </w:p>
        </w:tc>
        <w:tc>
          <w:tcPr>
            <w:tcW w:type="dxa" w:w="3322"/>
          </w:tcPr>
          <w:p>
            <w:pPr>
              <w:pStyle w:val="null3"/>
            </w:pPr>
            <w:r>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t>服务内容及服务邀请应答表 中小企业声明函 商务应答表 供应商应提交的相关资格证明材料 响应文件封面 供应商认为有必要补充说明的事项 残疾人福利性单位声明函 服务方案 标的清单 供应商类似项目业绩一览表 响应函 监狱企业的证明文件 供应商资格证明文件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提供针对本项目相关工作分配及综合服务管理方案，保证管理的规范性，评委对磋商响应文件中提供的以上内容的完整性、科学性、合理性、计划性，按其合理及响应程度进行综合评审，方案合理并符合实际采购需求得10.0-15.0分，基本符合采购需求且无重要漏项得5.0-9.9分，方案相比于采购需求有缺项得1.0-4.9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存储场所</w:t>
            </w:r>
          </w:p>
        </w:tc>
        <w:tc>
          <w:tcPr>
            <w:tcW w:type="dxa" w:w="2492"/>
          </w:tcPr>
          <w:p>
            <w:pPr>
              <w:pStyle w:val="null3"/>
            </w:pPr>
            <w:r>
              <w:rPr/>
              <w:t>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按其响应程度进行综合评审； 食品存储场所及条件规范、证明材料齐全得13.0-20.0分； 食品存储场所及条件较规范、证明材料较齐全得7.0-12.9分； 食品存储场所及条件不规范、证明材料有明显缺漏项得1.0-6.9分 未提供不得分。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人员组织架构</w:t>
            </w:r>
          </w:p>
        </w:tc>
        <w:tc>
          <w:tcPr>
            <w:tcW w:type="dxa" w:w="2492"/>
          </w:tcPr>
          <w:p>
            <w:pPr>
              <w:pStyle w:val="null3"/>
            </w:pPr>
            <w:r>
              <w:rPr/>
              <w:t>提供拟配备人员组织架构，人员配置合理，人员岗位职责明确。具备相关的统计财会人员、仓储保管人员，做好仓储管理工作。 配备人员组织架构，人员配置合理，完全满足本项目服务要求的得10.0-15.0分； 针对本项目组织架构较合理，人员配置较合理，人员岗位职责较明确，基本满足本项目要求的得5.0-9.9分； 配备人员组织架构，人员配置不合理，人员岗位职责不明确，不满足本项目要求的得1.0-4.9分；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安全管理制度</w:t>
            </w:r>
          </w:p>
        </w:tc>
        <w:tc>
          <w:tcPr>
            <w:tcW w:type="dxa" w:w="2492"/>
          </w:tcPr>
          <w:p>
            <w:pPr>
              <w:pStyle w:val="null3"/>
            </w:pPr>
            <w:r>
              <w:rPr/>
              <w:t>应建立健全的应急成品储备粮出入库、质量、储存、检化验和防虫、防火、防盗、防汛等安全管理制度，并配备必要安全防护措施，根据响应程度： 具备可行的质量保证措施及安全管理制度，方案具体、完整、可操作性强的得10.0-15.0分； 方案中质量保证措施及安全管理制度描述合理，措施得当，可操作性一般得5.0-9.9分； 方案中质量保证措施及安全管理制度描述不合理，可操作性较差得1.0-4.9分；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应急方案</w:t>
            </w:r>
          </w:p>
        </w:tc>
        <w:tc>
          <w:tcPr>
            <w:tcW w:type="dxa" w:w="2492"/>
          </w:tcPr>
          <w:p>
            <w:pPr>
              <w:pStyle w:val="null3"/>
            </w:pPr>
            <w:r>
              <w:rPr/>
              <w:t>突发情况的应急处理措施及紧急调用应急方案，可根据采购人需要及时送达采购人指定地点； 应急处理措施及紧急调用应急方案完全满足本项目要求得10.0-15.0分分； 应急处理措施及紧急调用应急方案基本满足本项目要求得5.0-9.9分； 应急处理措施及紧急调用应急方案不满足本项目要求得1.0-4.9分。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合理化建议</w:t>
            </w:r>
          </w:p>
        </w:tc>
        <w:tc>
          <w:tcPr>
            <w:tcW w:type="dxa" w:w="2492"/>
          </w:tcPr>
          <w:p>
            <w:pPr>
              <w:pStyle w:val="null3"/>
            </w:pPr>
            <w:r>
              <w:rPr/>
              <w:t>合理化建议，针对本项目提出合理化建议，真实、有效、实用、合理者得5.0-7.0分；合理化建议基本合理、基本实用者得1.0-4.9分；未提供不得分。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供应商认为有必要补充说明的事项</w:t>
            </w:r>
          </w:p>
        </w:tc>
      </w:tr>
      <w:tr>
        <w:tc>
          <w:tcPr>
            <w:tcW w:type="dxa" w:w="831"/>
            <w:vMerge/>
          </w:tcPr>
          <w:p/>
        </w:tc>
        <w:tc>
          <w:tcPr>
            <w:tcW w:type="dxa" w:w="1661"/>
          </w:tcPr>
          <w:p>
            <w:pPr>
              <w:pStyle w:val="null3"/>
            </w:pPr>
            <w:r>
              <w:rPr/>
              <w:t>类似项目业绩</w:t>
            </w:r>
          </w:p>
        </w:tc>
        <w:tc>
          <w:tcPr>
            <w:tcW w:type="dxa" w:w="2492"/>
          </w:tcPr>
          <w:p>
            <w:pPr>
              <w:pStyle w:val="null3"/>
            </w:pPr>
            <w:r>
              <w:rPr/>
              <w:t>具有类似项目业绩，每提供一个计1分，满分3分。（供应商在磋商文件中提供合同复印件并加盖单位公章）</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供应商类似项目业绩一览表</w:t>
            </w:r>
          </w:p>
          <w:p>
            <w:pPr>
              <w:pStyle w:val="null3"/>
            </w:pPr>
            <w:r>
              <w:rPr/>
              <w:t>供应商认为有必要补充说明的事项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 2.满足磋商文件实质性要求且最后报价最低的投标人的价格为磋商基准价，其价格分为满分10分。 3.磋商报价得分=（磋商基准价/磋商评审价）×10的公式计算得分。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详见附件：供应商类似项目业绩一览表</w:t>
      </w:r>
    </w:p>
    <w:p>
      <w:pPr>
        <w:pStyle w:val="null3"/>
        <w:ind w:firstLine="960"/>
      </w:pPr>
      <w:r>
        <w:rPr/>
        <w:t>详见附件：供应商资格证明文件</w:t>
      </w:r>
    </w:p>
    <w:p>
      <w:pPr>
        <w:pStyle w:val="null3"/>
        <w:ind w:firstLine="960"/>
      </w:pPr>
      <w:r>
        <w:rPr/>
        <w:t>详见附件：供应商认为有必要补充说明的事项</w:t>
      </w:r>
    </w:p>
    <w:p>
      <w:pPr>
        <w:pStyle w:val="null3"/>
      </w:pPr>
      <w:r>
        <w:rPr/>
        <w:t xml:space="preserve"> </w:t>
      </w:r>
    </w:p>
    <w:p>
      <w:pPr>
        <w:pStyle w:val="null3"/>
        <w:jc w:val="center"/>
        <w:outlineLvl w:val="1"/>
      </w:pPr>
      <w:r>
        <w:rPr>
          <w:b/>
          <w:sz w:val="36"/>
        </w:rPr>
        <w:t>第八章 拟签订采购合同文本</w:t>
      </w:r>
    </w:p>
    <w:p>
      <w:pPr>
        <w:pStyle w:val="null3"/>
      </w:pPr>
      <w:r>
        <w:rPr/>
        <w:t>详见附件：合同格式.docx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