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押员取暖、洗澡锅炉燃油购置项目</w:t>
      </w:r>
    </w:p>
    <w:p>
      <w:pPr>
        <w:pStyle w:val="null3"/>
        <w:jc w:val="center"/>
        <w:outlineLvl w:val="2"/>
      </w:pPr>
      <w:r>
        <w:rPr>
          <w:sz w:val="28"/>
          <w:b/>
        </w:rPr>
        <w:t>采购项目编号：</w:t>
      </w:r>
      <w:r>
        <w:rPr>
          <w:sz w:val="28"/>
          <w:b/>
        </w:rPr>
        <w:t>BYZX2024-117</w:t>
      </w:r>
      <w:r>
        <w:br/>
      </w:r>
      <w:r>
        <w:br/>
      </w:r>
      <w:r>
        <w:br/>
      </w:r>
    </w:p>
    <w:p>
      <w:pPr>
        <w:pStyle w:val="null3"/>
        <w:jc w:val="center"/>
        <w:outlineLvl w:val="2"/>
      </w:pPr>
      <w:r>
        <w:rPr>
          <w:sz w:val="28"/>
          <w:b/>
        </w:rPr>
        <w:t>西安市未央区看守所</w:t>
      </w:r>
    </w:p>
    <w:p>
      <w:pPr>
        <w:pStyle w:val="null3"/>
        <w:jc w:val="center"/>
        <w:outlineLvl w:val="2"/>
      </w:pPr>
      <w:r>
        <w:rPr>
          <w:sz w:val="28"/>
          <w:b/>
        </w:rPr>
        <w:t>陕西百岳项目管理咨询有限公司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陕西百岳项目管理咨询有限公司</w:t>
      </w:r>
      <w:r>
        <w:rPr/>
        <w:t>（以下简称“代理机构”）受</w:t>
      </w:r>
      <w:r>
        <w:rPr/>
        <w:t>西安市未央区看守所</w:t>
      </w:r>
      <w:r>
        <w:rPr/>
        <w:t>委托，拟对</w:t>
      </w:r>
      <w:r>
        <w:rPr/>
        <w:t>押员取暖、洗澡锅炉燃油购置项目</w:t>
      </w:r>
      <w:r>
        <w:rPr/>
        <w:t>采用竞争性磋商采购方式进行采购，兹邀请供应商参加本项目的竞争性磋商。</w:t>
      </w:r>
    </w:p>
    <w:p>
      <w:pPr>
        <w:pStyle w:val="null3"/>
        <w:outlineLvl w:val="2"/>
      </w:pPr>
      <w:r>
        <w:rPr>
          <w:sz w:val="28"/>
          <w:b/>
        </w:rPr>
        <w:t>一、项目编号：</w:t>
      </w:r>
      <w:r>
        <w:rPr>
          <w:sz w:val="28"/>
          <w:b/>
        </w:rPr>
        <w:t>BYZX2024-117</w:t>
      </w:r>
    </w:p>
    <w:p>
      <w:pPr>
        <w:pStyle w:val="null3"/>
        <w:outlineLvl w:val="2"/>
      </w:pPr>
      <w:r>
        <w:rPr>
          <w:sz w:val="28"/>
          <w:b/>
        </w:rPr>
        <w:t>二、项目名称：</w:t>
      </w:r>
      <w:r>
        <w:rPr>
          <w:sz w:val="28"/>
          <w:b/>
        </w:rPr>
        <w:t>押员取暖、洗澡锅炉燃油购置项目</w:t>
      </w:r>
    </w:p>
    <w:p>
      <w:pPr>
        <w:pStyle w:val="null3"/>
        <w:outlineLvl w:val="2"/>
      </w:pPr>
      <w:r>
        <w:rPr>
          <w:sz w:val="28"/>
          <w:b/>
        </w:rPr>
        <w:t>三、磋商项目简介</w:t>
      </w:r>
    </w:p>
    <w:p>
      <w:pPr>
        <w:pStyle w:val="null3"/>
        <w:ind w:firstLine="480"/>
      </w:pPr>
      <w:r>
        <w:rPr/>
        <w:t>为满足未央区看守所在押人员冬季供暖所需和日常热水供应，现采购一批燃料。</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1、证书：供应商具备有效的《危险化学品经营许可证》。</w:t>
      </w:r>
    </w:p>
    <w:p>
      <w:pPr>
        <w:pStyle w:val="null3"/>
      </w:pPr>
      <w:r>
        <w:rPr/>
        <w:t>2、主体资格：具有独立承担民事责任能力的法人、其他组织或自然人，并出具合法有效的营业执照或事业单位法人证书等国家规定的相关证明，自然人参与的提供其身份证明。</w:t>
      </w:r>
    </w:p>
    <w:p>
      <w:pPr>
        <w:pStyle w:val="null3"/>
      </w:pPr>
      <w:r>
        <w:rPr/>
        <w:t>3、法定代表人身份证明与授权委托书：法定代表人（主要负责人）委托代理人参加磋商时，应提供法定代表人（主要负责人）委托授权书；法定代表人（主要负责人）亲自参加磋商时，应提供法定代表人（主要负责人）身份证明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西安市未央区看守所</w:t>
      </w:r>
    </w:p>
    <w:p>
      <w:pPr>
        <w:pStyle w:val="null3"/>
      </w:pPr>
      <w:r>
        <w:rPr/>
        <w:t xml:space="preserve"> 地址： </w:t>
      </w:r>
      <w:r>
        <w:rPr/>
        <w:t>徐家湾街道办红旗东路9号</w:t>
      </w:r>
    </w:p>
    <w:p>
      <w:pPr>
        <w:pStyle w:val="null3"/>
      </w:pPr>
      <w:r>
        <w:rPr/>
        <w:t xml:space="preserve"> 邮编： </w:t>
      </w:r>
      <w:r>
        <w:rPr/>
        <w:t>710016</w:t>
      </w:r>
    </w:p>
    <w:p>
      <w:pPr>
        <w:pStyle w:val="null3"/>
      </w:pPr>
      <w:r>
        <w:rPr/>
        <w:t xml:space="preserve"> 联系人： </w:t>
      </w:r>
      <w:r>
        <w:rPr/>
        <w:t>西安市未央区看守所经办</w:t>
      </w:r>
    </w:p>
    <w:p>
      <w:pPr>
        <w:pStyle w:val="null3"/>
      </w:pPr>
      <w:r>
        <w:rPr/>
        <w:t xml:space="preserve"> 联系电话： </w:t>
      </w:r>
      <w:r>
        <w:rPr/>
        <w:t>18700780901</w:t>
      </w:r>
    </w:p>
    <w:p>
      <w:pPr>
        <w:pStyle w:val="null3"/>
        <w:outlineLvl w:val="3"/>
      </w:pPr>
      <w:r>
        <w:rPr>
          <w:sz w:val="24"/>
          <w:b/>
        </w:rPr>
        <w:t>代理机构：</w:t>
      </w:r>
      <w:r>
        <w:rPr>
          <w:sz w:val="24"/>
          <w:b/>
        </w:rPr>
        <w:t>陕西百岳项目管理咨询有限公司</w:t>
      </w:r>
    </w:p>
    <w:p>
      <w:pPr>
        <w:pStyle w:val="null3"/>
      </w:pPr>
      <w:r>
        <w:rPr/>
        <w:t xml:space="preserve"> 地址： </w:t>
      </w:r>
      <w:r>
        <w:rPr/>
        <w:t>西安市浐灞生态区欧亚大道欧亚国际一期B座10楼1007室。</w:t>
      </w:r>
    </w:p>
    <w:p>
      <w:pPr>
        <w:pStyle w:val="null3"/>
      </w:pPr>
      <w:r>
        <w:rPr/>
        <w:t xml:space="preserve"> 邮编： </w:t>
      </w:r>
      <w:r>
        <w:rPr/>
        <w:t>710016</w:t>
      </w:r>
    </w:p>
    <w:p>
      <w:pPr>
        <w:pStyle w:val="null3"/>
      </w:pPr>
      <w:r>
        <w:rPr/>
        <w:t xml:space="preserve"> 联系人： </w:t>
      </w:r>
      <w:r>
        <w:rPr/>
        <w:t>王工</w:t>
      </w:r>
    </w:p>
    <w:p>
      <w:pPr>
        <w:pStyle w:val="null3"/>
      </w:pPr>
      <w:r>
        <w:rPr/>
        <w:t xml:space="preserve"> 联系电话： </w:t>
      </w:r>
      <w:r>
        <w:rPr/>
        <w:t>18829341137</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成交）供应商收取代理服务费。 代理费缴存账户： 开户名称：陕西百岳项目管理咨询有限公司 开户银行：华夏银行股份有限公司西安欧亚大道支行 账 号：11474000000227339（备注：项目名称+代理服务费）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西安市未央区看守所</w:t>
      </w:r>
      <w:r>
        <w:rPr/>
        <w:t>和</w:t>
      </w:r>
      <w:r>
        <w:rPr/>
        <w:t>陕西百岳项目管理咨询有限公司</w:t>
      </w:r>
      <w:r>
        <w:rPr/>
        <w:t>享有。对磋商文件中供应商参加本次政府采购活动应当具备的条件，磋商项目技术、服务、商务及其他要求，评审细则及标准由</w:t>
      </w:r>
      <w:r>
        <w:rPr/>
        <w:t>西安市未央区看守所</w:t>
      </w:r>
      <w:r>
        <w:rPr/>
        <w:t>负责解释。除上述磋商文件内容，其他内容由</w:t>
      </w:r>
      <w:r>
        <w:rPr/>
        <w:t>陕西百岳项目管理咨询有限公司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陕西百岳项目管理咨询有限公司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依据竞争性磋商文件、磋商响应文件、澄清表（函）、合同内容及附件文本；合同签订时国家及行业现行的标准和技术规范，符合采购人验收标准。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陕西百岳项目管理咨询有限公司</w:t>
      </w:r>
      <w:r>
        <w:rPr/>
        <w:t xml:space="preserve"> 负责答复；供应商对采购过程的询问、质疑由</w:t>
      </w:r>
      <w:r>
        <w:rPr/>
        <w:t>陕西百岳项目管理咨询有限公司</w:t>
      </w:r>
      <w:r>
        <w:rPr/>
        <w:t xml:space="preserve"> 负责答复；供应商对采购结果的询问、质疑由 </w:t>
      </w:r>
      <w:r>
        <w:rPr/>
        <w:t>陕西百岳项目管理咨询有限公司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联系电话：18829341137</w:t>
      </w:r>
    </w:p>
    <w:p>
      <w:pPr>
        <w:pStyle w:val="null3"/>
      </w:pPr>
      <w:r>
        <w:rPr/>
        <w:t>地址：西安市浐灞生态区欧亚大道欧亚国际一期B座10楼1007室</w:t>
      </w:r>
    </w:p>
    <w:p>
      <w:pPr>
        <w:pStyle w:val="null3"/>
      </w:pPr>
      <w:r>
        <w:rPr/>
        <w:t>邮编：710016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为满足未央区看守所在押人员冬季供暖所需和日常热水供应，现采购一批燃料。</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柴油</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标的名称：柴油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8"/>
                <w:b/>
              </w:rPr>
              <w:t xml:space="preserve">   一、</w:t>
            </w:r>
            <w:r>
              <w:rPr>
                <w:rFonts w:ascii="仿宋" w:hAnsi="仿宋" w:cs="仿宋" w:eastAsia="仿宋"/>
                <w:sz w:val="28"/>
                <w:b/>
              </w:rPr>
              <w:t>项目</w:t>
            </w:r>
            <w:r>
              <w:rPr>
                <w:rFonts w:ascii="仿宋" w:hAnsi="仿宋" w:cs="仿宋" w:eastAsia="仿宋"/>
                <w:sz w:val="28"/>
                <w:b/>
              </w:rPr>
              <w:t>概况</w:t>
            </w:r>
          </w:p>
          <w:p>
            <w:pPr>
              <w:pStyle w:val="null3"/>
              <w:ind w:firstLine="480"/>
              <w:jc w:val="left"/>
            </w:pPr>
            <w:r>
              <w:rPr>
                <w:rFonts w:ascii="宋体" w:hAnsi="宋体" w:cs="宋体" w:eastAsia="宋体"/>
                <w:sz w:val="24"/>
              </w:rPr>
              <w:t>为满足未央区看守所在押人员冬季供暖所需和日常热水供应，现采购一批燃料。</w:t>
            </w:r>
          </w:p>
          <w:p>
            <w:pPr>
              <w:pStyle w:val="null3"/>
              <w:ind w:firstLine="480"/>
              <w:jc w:val="left"/>
            </w:pPr>
            <w:r>
              <w:rPr>
                <w:rFonts w:ascii="仿宋" w:hAnsi="仿宋" w:cs="仿宋" w:eastAsia="仿宋"/>
                <w:sz w:val="28"/>
                <w:b/>
              </w:rPr>
              <w:t>二、采购内容</w:t>
            </w:r>
          </w:p>
          <w:tbl>
            <w:tblPr>
              <w:tblBorders>
                <w:top w:val="none" w:color="000000" w:sz="4"/>
                <w:left w:val="none" w:color="000000" w:sz="4"/>
                <w:bottom w:val="none" w:color="000000" w:sz="4"/>
                <w:right w:val="none" w:color="000000" w:sz="4"/>
                <w:insideH w:val="none"/>
                <w:insideV w:val="none"/>
              </w:tblBorders>
            </w:tblPr>
            <w:tblGrid>
              <w:gridCol w:w="396"/>
              <w:gridCol w:w="194"/>
              <w:gridCol w:w="294"/>
              <w:gridCol w:w="494"/>
              <w:gridCol w:w="419"/>
              <w:gridCol w:w="756"/>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锅炉种类</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品目</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型号</w:t>
                  </w:r>
                </w:p>
              </w:tc>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暂估量</w:t>
                  </w:r>
                  <w:r>
                    <w:rPr>
                      <w:rFonts w:ascii="宋体" w:hAnsi="宋体" w:cs="宋体" w:eastAsia="宋体"/>
                      <w:sz w:val="24"/>
                    </w:rPr>
                    <w:t>（升）</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供货时间</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采暖炉</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柴油</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0#或-10#</w:t>
                  </w:r>
                </w:p>
              </w:tc>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82967.2</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天气温度低于</w:t>
                  </w:r>
                  <w:r>
                    <w:rPr>
                      <w:rFonts w:ascii="宋体" w:hAnsi="宋体" w:cs="宋体" w:eastAsia="宋体"/>
                      <w:sz w:val="24"/>
                      <w:color w:val="000000"/>
                    </w:rPr>
                    <w:t>0°以下时供应-10#柴油，0°以上供应0#柴油</w:t>
                  </w:r>
                </w:p>
                <w:p>
                  <w:pPr>
                    <w:pStyle w:val="null3"/>
                    <w:jc w:val="center"/>
                  </w:pPr>
                </w:p>
              </w:tc>
            </w:tr>
          </w:tbl>
          <w:p>
            <w:pPr>
              <w:pStyle w:val="null3"/>
              <w:jc w:val="both"/>
            </w:pPr>
            <w:r>
              <w:rPr>
                <w:rFonts w:ascii="宋体" w:hAnsi="宋体" w:cs="宋体" w:eastAsia="宋体"/>
                <w:sz w:val="24"/>
              </w:rPr>
              <w:t>三、技术要求</w:t>
            </w:r>
          </w:p>
          <w:p>
            <w:pPr>
              <w:pStyle w:val="null3"/>
              <w:ind w:firstLine="480"/>
              <w:jc w:val="both"/>
            </w:pPr>
            <w:r>
              <w:rPr>
                <w:rFonts w:ascii="宋体" w:hAnsi="宋体" w:cs="宋体" w:eastAsia="宋体"/>
                <w:sz w:val="24"/>
              </w:rPr>
              <w:t>所送柴油必须是符合国家有关部门正式批准的石油产品生产企业生产的</w:t>
            </w:r>
            <w:r>
              <w:rPr>
                <w:rFonts w:ascii="calibri" w:hAnsi="calibri" w:cs="calibri" w:eastAsia="calibri"/>
                <w:sz w:val="24"/>
              </w:rPr>
              <w:t>0#/-10#</w:t>
            </w:r>
            <w:r>
              <w:rPr>
                <w:rFonts w:ascii="宋体" w:hAnsi="宋体" w:cs="宋体" w:eastAsia="宋体"/>
                <w:sz w:val="24"/>
              </w:rPr>
              <w:t>国标柴油。所送柴油质量不能引起锅炉主机、油咀损坏以及其它安全隐患、事故。</w:t>
            </w:r>
          </w:p>
          <w:p>
            <w:pPr>
              <w:pStyle w:val="null3"/>
              <w:ind w:firstLine="480"/>
              <w:jc w:val="both"/>
            </w:pPr>
            <w:r>
              <w:rPr>
                <w:rFonts w:ascii="宋体" w:hAnsi="宋体" w:cs="宋体" w:eastAsia="宋体"/>
                <w:sz w:val="24"/>
              </w:rPr>
              <w:t>四、服务要求</w:t>
            </w:r>
          </w:p>
          <w:p>
            <w:pPr>
              <w:pStyle w:val="null3"/>
              <w:ind w:firstLine="480"/>
              <w:jc w:val="both"/>
            </w:pPr>
            <w:r>
              <w:rPr>
                <w:rFonts w:ascii="calibri" w:hAnsi="calibri" w:cs="calibri" w:eastAsia="calibri"/>
                <w:sz w:val="24"/>
              </w:rPr>
              <w:t>1</w:t>
            </w:r>
            <w:r>
              <w:rPr>
                <w:rFonts w:ascii="宋体" w:hAnsi="宋体" w:cs="宋体" w:eastAsia="宋体"/>
                <w:sz w:val="24"/>
              </w:rPr>
              <w:t>、为了确保安全，每次送油时，工作人员必须具有国家有关部门颁发的危险品货物运输的从业资格证、操作证，以确保采暖期安全，做到万无一失。</w:t>
            </w:r>
          </w:p>
          <w:p>
            <w:pPr>
              <w:pStyle w:val="null3"/>
              <w:ind w:firstLine="480"/>
              <w:jc w:val="both"/>
            </w:pPr>
            <w:r>
              <w:rPr>
                <w:rFonts w:ascii="calibri" w:hAnsi="calibri" w:cs="calibri" w:eastAsia="calibri"/>
                <w:sz w:val="24"/>
              </w:rPr>
              <w:t>2</w:t>
            </w:r>
            <w:r>
              <w:rPr>
                <w:rFonts w:ascii="宋体" w:hAnsi="宋体" w:cs="宋体" w:eastAsia="宋体"/>
                <w:sz w:val="24"/>
              </w:rPr>
              <w:t>、必须在接到采购人电话通知二十四小时之内把油送到采购人指定位置，每次送油的重量以采购人油罐</w:t>
            </w:r>
            <w:r>
              <w:rPr>
                <w:rFonts w:ascii="calibri" w:hAnsi="calibri" w:cs="calibri" w:eastAsia="calibri"/>
                <w:sz w:val="24"/>
              </w:rPr>
              <w:t>(10</w:t>
            </w:r>
            <w:r>
              <w:rPr>
                <w:rFonts w:ascii="宋体" w:hAnsi="宋体" w:cs="宋体" w:eastAsia="宋体"/>
                <w:sz w:val="24"/>
              </w:rPr>
              <w:t>吨</w:t>
            </w:r>
            <w:r>
              <w:rPr>
                <w:rFonts w:ascii="calibri" w:hAnsi="calibri" w:cs="calibri" w:eastAsia="calibri"/>
                <w:sz w:val="24"/>
              </w:rPr>
              <w:t>)</w:t>
            </w:r>
            <w:r>
              <w:rPr>
                <w:rFonts w:ascii="宋体" w:hAnsi="宋体" w:cs="宋体" w:eastAsia="宋体"/>
                <w:sz w:val="24"/>
              </w:rPr>
              <w:t>的总承载量的五分之四为标准，否则采购人有权终止合同，另外购油。</w:t>
            </w:r>
          </w:p>
          <w:p>
            <w:pPr>
              <w:pStyle w:val="null3"/>
              <w:ind w:firstLine="480"/>
              <w:jc w:val="both"/>
            </w:pPr>
            <w:r>
              <w:rPr>
                <w:rFonts w:ascii="calibri" w:hAnsi="calibri" w:cs="calibri" w:eastAsia="calibri"/>
                <w:sz w:val="24"/>
              </w:rPr>
              <w:t>3</w:t>
            </w:r>
            <w:r>
              <w:rPr>
                <w:rFonts w:ascii="宋体" w:hAnsi="宋体" w:cs="宋体" w:eastAsia="宋体"/>
                <w:sz w:val="24"/>
              </w:rPr>
              <w:t>、采购人计量方法为按升计算。每次进油时，双方须有专人负责接收计量，计量应保持诚实、守信的原则，保证计量的油柴数量与实际供应柴油的数量一致，具体换算办法以应标方提供质检报告单位含密度计算，若发现弄虚作假、缺斤短两行为，采购人依照相关程序报监管部门处理。</w:t>
            </w:r>
          </w:p>
          <w:p>
            <w:pPr>
              <w:pStyle w:val="null3"/>
              <w:ind w:firstLine="480"/>
              <w:jc w:val="both"/>
            </w:pPr>
            <w:r>
              <w:rPr>
                <w:rFonts w:ascii="calibri" w:hAnsi="calibri" w:cs="calibri" w:eastAsia="calibri"/>
                <w:sz w:val="24"/>
              </w:rPr>
              <w:t>4</w:t>
            </w:r>
            <w:r>
              <w:rPr>
                <w:rFonts w:ascii="宋体" w:hAnsi="宋体" w:cs="宋体" w:eastAsia="宋体"/>
                <w:sz w:val="24"/>
              </w:rPr>
              <w:t>、如室外气温低于零摄氏度，供应商应更换为</w:t>
            </w:r>
            <w:r>
              <w:rPr>
                <w:rFonts w:ascii="calibri" w:hAnsi="calibri" w:cs="calibri" w:eastAsia="calibri"/>
                <w:sz w:val="24"/>
              </w:rPr>
              <w:t>-10</w:t>
            </w:r>
            <w:r>
              <w:rPr>
                <w:rFonts w:ascii="宋体" w:hAnsi="宋体" w:cs="宋体" w:eastAsia="宋体"/>
                <w:sz w:val="24"/>
              </w:rPr>
              <w:t>号柴油，否则造成采购人锅炉无法正常运转，供应商须负全责。</w:t>
            </w:r>
          </w:p>
          <w:p>
            <w:pPr>
              <w:pStyle w:val="null3"/>
              <w:ind w:firstLine="480"/>
              <w:jc w:val="both"/>
            </w:pPr>
            <w:r>
              <w:rPr>
                <w:rFonts w:ascii="宋体" w:hAnsi="宋体" w:cs="宋体" w:eastAsia="宋体"/>
                <w:sz w:val="24"/>
              </w:rPr>
              <w:t>五、商务要求</w:t>
            </w:r>
          </w:p>
          <w:p>
            <w:pPr>
              <w:pStyle w:val="null3"/>
              <w:ind w:firstLine="480"/>
              <w:jc w:val="both"/>
            </w:pPr>
            <w:r>
              <w:rPr>
                <w:rFonts w:ascii="calibri" w:hAnsi="calibri" w:cs="calibri" w:eastAsia="calibri"/>
                <w:sz w:val="24"/>
              </w:rPr>
              <w:t>1</w:t>
            </w:r>
            <w:r>
              <w:rPr>
                <w:rFonts w:ascii="宋体" w:hAnsi="宋体" w:cs="宋体" w:eastAsia="宋体"/>
                <w:sz w:val="24"/>
              </w:rPr>
              <w:t>、供货期：自合同签订之日起一年，按需配送。</w:t>
            </w:r>
          </w:p>
          <w:p>
            <w:pPr>
              <w:pStyle w:val="null3"/>
              <w:ind w:firstLine="480"/>
              <w:jc w:val="both"/>
            </w:pPr>
            <w:r>
              <w:rPr>
                <w:rFonts w:ascii="calibri" w:hAnsi="calibri" w:cs="calibri" w:eastAsia="calibri"/>
                <w:sz w:val="24"/>
              </w:rPr>
              <w:t>2</w:t>
            </w:r>
            <w:r>
              <w:rPr>
                <w:rFonts w:ascii="宋体" w:hAnsi="宋体" w:cs="宋体" w:eastAsia="宋体"/>
                <w:sz w:val="24"/>
              </w:rPr>
              <w:t>、交货时间：接到采购人订单之日起</w:t>
            </w:r>
            <w:r>
              <w:rPr>
                <w:rFonts w:ascii="calibri" w:hAnsi="calibri" w:cs="calibri" w:eastAsia="calibri"/>
                <w:sz w:val="24"/>
              </w:rPr>
              <w:t>24</w:t>
            </w:r>
            <w:r>
              <w:rPr>
                <w:rFonts w:ascii="宋体" w:hAnsi="宋体" w:cs="宋体" w:eastAsia="宋体"/>
                <w:sz w:val="24"/>
              </w:rPr>
              <w:t>小时内交货。</w:t>
            </w:r>
          </w:p>
          <w:p>
            <w:pPr>
              <w:pStyle w:val="null3"/>
              <w:ind w:firstLine="480"/>
              <w:jc w:val="both"/>
            </w:pPr>
            <w:r>
              <w:rPr>
                <w:rFonts w:ascii="calibri" w:hAnsi="calibri" w:cs="calibri" w:eastAsia="calibri"/>
                <w:sz w:val="24"/>
              </w:rPr>
              <w:t>3</w:t>
            </w:r>
            <w:r>
              <w:rPr>
                <w:rFonts w:ascii="宋体" w:hAnsi="宋体" w:cs="宋体" w:eastAsia="宋体"/>
                <w:sz w:val="24"/>
              </w:rPr>
              <w:t>、款项结算：合同签订后每满三个月后</w:t>
            </w:r>
            <w:r>
              <w:rPr>
                <w:rFonts w:ascii="calibri" w:hAnsi="calibri" w:cs="calibri" w:eastAsia="calibri"/>
                <w:sz w:val="24"/>
              </w:rPr>
              <w:t>5</w:t>
            </w:r>
            <w:r>
              <w:rPr>
                <w:rFonts w:ascii="宋体" w:hAnsi="宋体" w:cs="宋体" w:eastAsia="宋体"/>
                <w:sz w:val="24"/>
              </w:rPr>
              <w:t>个工作日内根据各成交供应商所供的实际数量据实结算一次。</w:t>
            </w:r>
          </w:p>
          <w:p>
            <w:pPr>
              <w:pStyle w:val="null3"/>
              <w:ind w:firstLine="480"/>
              <w:jc w:val="both"/>
            </w:pPr>
            <w:r>
              <w:rPr>
                <w:rFonts w:ascii="宋体" w:hAnsi="宋体" w:cs="宋体" w:eastAsia="宋体"/>
                <w:sz w:val="24"/>
              </w:rPr>
              <w:t>六、其他</w:t>
            </w:r>
          </w:p>
          <w:p>
            <w:pPr>
              <w:pStyle w:val="null3"/>
              <w:ind w:firstLine="480"/>
              <w:jc w:val="both"/>
            </w:pPr>
            <w:r>
              <w:rPr>
                <w:rFonts w:ascii="宋体" w:hAnsi="宋体" w:cs="宋体" w:eastAsia="宋体"/>
                <w:sz w:val="24"/>
              </w:rPr>
              <w:t>质量要求：须达到</w:t>
            </w:r>
            <w:r>
              <w:rPr>
                <w:rFonts w:ascii="calibri" w:hAnsi="calibri" w:cs="calibri" w:eastAsia="calibri"/>
                <w:sz w:val="24"/>
              </w:rPr>
              <w:t>0#/-10#</w:t>
            </w:r>
            <w:r>
              <w:rPr>
                <w:rFonts w:ascii="宋体" w:hAnsi="宋体" w:cs="宋体" w:eastAsia="宋体"/>
                <w:sz w:val="24"/>
              </w:rPr>
              <w:t>国标柴油标准，附其合格证。</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自合同签订之日起一年</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合同签订后每满三个月后5个工作日内根据成交供应商所供的实际数量据实结算一次 ，达到付款条件起 5 日内，支付合同总金额的 25.00%。</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合同签订后每满三个月后5个工作日内根据成交供应商所供的实际数量据实结算一次 ，达到付款条件起 5 日内，支付合同总金额的 25.00%。</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合同签订后每满三个月后5个工作日内根据成交供应商所供的实际数量据实结算一次 ，达到付款条件起 5 日内，支付合同总金额的 25.00%。</w:t>
      </w:r>
      <w:r>
        <w:rPr/>
        <w:t xml:space="preserve"> ，达到付款条件起 </w:t>
      </w:r>
      <w:r>
        <w:rPr/>
        <w:t>5</w:t>
      </w:r>
      <w:r>
        <w:rPr/>
        <w:t xml:space="preserve"> 日内，支付合同总金额的 </w:t>
      </w:r>
      <w:r>
        <w:rPr/>
        <w:t>25.00</w:t>
      </w:r>
      <w:r>
        <w:rPr/>
        <w:t>%。</w:t>
      </w:r>
    </w:p>
    <w:p>
      <w:pPr>
        <w:pStyle w:val="null3"/>
      </w:pPr>
      <w:r>
        <w:rPr/>
        <w:t>采购包1：</w:t>
      </w:r>
      <w:r>
        <w:rPr/>
        <w:t xml:space="preserve"> 付款条件说明： </w:t>
      </w:r>
      <w:r>
        <w:rPr/>
        <w:t>合同签订后每满三个月后5个工作日内根据成交供应商所供的实际数量据实结算一次 ，达到付款条件起 5 日内，支付合同总金额的 25.00%。</w:t>
      </w:r>
      <w:r>
        <w:rPr/>
        <w:t xml:space="preserve"> ，达到付款条件起 </w:t>
      </w:r>
      <w:r>
        <w:rPr/>
        <w:t>5</w:t>
      </w:r>
      <w:r>
        <w:rPr/>
        <w:t xml:space="preserve"> 日内，支付合同总金额的 </w:t>
      </w:r>
      <w:r>
        <w:rPr/>
        <w:t>25.00</w:t>
      </w:r>
      <w:r>
        <w:rPr/>
        <w:t>%。</w:t>
      </w:r>
    </w:p>
    <w:p>
      <w:pPr>
        <w:pStyle w:val="null3"/>
        <w:outlineLvl w:val="3"/>
      </w:pPr>
      <w:r>
        <w:rPr>
          <w:sz w:val="24"/>
          <w:b/>
        </w:rPr>
        <w:t>3.4.5验收标准和方法</w:t>
      </w:r>
    </w:p>
    <w:p>
      <w:pPr>
        <w:pStyle w:val="null3"/>
      </w:pPr>
      <w:r>
        <w:rPr/>
        <w:t>采购包1：</w:t>
      </w:r>
    </w:p>
    <w:p>
      <w:pPr>
        <w:pStyle w:val="null3"/>
      </w:pPr>
      <w:r>
        <w:rPr/>
        <w:t>依据竞争性磋商文件、磋商响应文件、澄清表（函）、合同内容及附件文本；合同签订时国家及行业现行的标准和技术规范，符合采购人验收标准。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详见合同文本。</w:t>
      </w:r>
    </w:p>
    <w:p>
      <w:pPr>
        <w:pStyle w:val="null3"/>
        <w:jc w:val="left"/>
        <w:outlineLvl w:val="2"/>
      </w:pPr>
      <w:r>
        <w:rPr>
          <w:sz w:val="28"/>
          <w:b/>
        </w:rPr>
        <w:t>3.5其他要求</w:t>
      </w:r>
    </w:p>
    <w:p>
      <w:pPr>
        <w:pStyle w:val="null3"/>
      </w:pPr>
      <w:r>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若正本和副本不符，以正本为准。线下递交文件时间：详见本项目竞争性磋商公告文件截止时间；线下递交文件地点：西安市浐灞生态区欧亚大道欧亚国际一期B座1007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供应商应提供健全的财务会计制度的证明材料。</w:t>
            </w:r>
          </w:p>
        </w:tc>
        <w:tc>
          <w:tcPr>
            <w:tcW w:type="dxa" w:w="3322"/>
          </w:tcPr>
          <w:p>
            <w:pPr>
              <w:pStyle w:val="null3"/>
            </w:pPr>
            <w:r>
              <w:rPr/>
              <w:t>供应商以书面形式提供规定格式的《基本资格条件承诺函》。</w:t>
            </w:r>
          </w:p>
        </w:tc>
        <w:tc>
          <w:tcPr>
            <w:tcW w:type="dxa" w:w="1661"/>
          </w:tcPr>
          <w:p>
            <w:pPr>
              <w:pStyle w:val="null3"/>
            </w:pPr>
            <w:r>
              <w:rPr/>
              <w:t>供应商应提交的资格证明文件 响应函</w:t>
            </w:r>
          </w:p>
        </w:tc>
      </w:tr>
      <w:tr>
        <w:tc>
          <w:tcPr>
            <w:tcW w:type="dxa" w:w="831"/>
          </w:tcPr>
          <w:p>
            <w:pPr>
              <w:pStyle w:val="null3"/>
            </w:pPr>
            <w:r>
              <w:rPr/>
              <w:t>2</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供应商应具备《中华人民共和国政府采购法》第二十二条规定的条件。</w:t>
            </w:r>
          </w:p>
        </w:tc>
        <w:tc>
          <w:tcPr>
            <w:tcW w:type="dxa" w:w="3322"/>
          </w:tcPr>
          <w:p>
            <w:pPr>
              <w:pStyle w:val="null3"/>
            </w:pPr>
            <w:r>
              <w:rPr/>
              <w:t>1.供应商以书面形式提供规定格式的《基本资格条件承诺函》；2.提供合法有效的营业执照或事业单位法人证书等国家规定的相关证明，自然人参与的提供其身份证明。</w:t>
            </w:r>
          </w:p>
        </w:tc>
        <w:tc>
          <w:tcPr>
            <w:tcW w:type="dxa" w:w="1661"/>
          </w:tcPr>
          <w:p>
            <w:pPr>
              <w:pStyle w:val="null3"/>
            </w:pPr>
            <w:r>
              <w:rPr/>
              <w:t>供应商应提交的资格证明文件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证书</w:t>
            </w:r>
          </w:p>
        </w:tc>
        <w:tc>
          <w:tcPr>
            <w:tcW w:type="dxa" w:w="3322"/>
          </w:tcPr>
          <w:p>
            <w:pPr>
              <w:pStyle w:val="null3"/>
            </w:pPr>
            <w:r>
              <w:rPr/>
              <w:t>供应商具备有效的《危险化学品经营许可证》。</w:t>
            </w:r>
          </w:p>
        </w:tc>
        <w:tc>
          <w:tcPr>
            <w:tcW w:type="dxa" w:w="1661"/>
          </w:tcPr>
          <w:p>
            <w:pPr>
              <w:pStyle w:val="null3"/>
            </w:pPr>
            <w:r>
              <w:rPr/>
              <w:t>供应商应提交的资格证明文件</w:t>
            </w:r>
          </w:p>
        </w:tc>
      </w:tr>
      <w:tr>
        <w:tc>
          <w:tcPr>
            <w:tcW w:type="dxa" w:w="831"/>
          </w:tcPr>
          <w:p>
            <w:pPr>
              <w:pStyle w:val="null3"/>
            </w:pPr>
            <w:r>
              <w:rPr/>
              <w:t>2</w:t>
            </w:r>
          </w:p>
        </w:tc>
        <w:tc>
          <w:tcPr>
            <w:tcW w:type="dxa" w:w="2492"/>
          </w:tcPr>
          <w:p>
            <w:pPr>
              <w:pStyle w:val="null3"/>
            </w:pPr>
            <w:r>
              <w:rPr/>
              <w:t>主体资格</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供应商应提交的资格证明文件</w:t>
            </w:r>
          </w:p>
        </w:tc>
      </w:tr>
      <w:tr>
        <w:tc>
          <w:tcPr>
            <w:tcW w:type="dxa" w:w="831"/>
          </w:tcPr>
          <w:p>
            <w:pPr>
              <w:pStyle w:val="null3"/>
            </w:pPr>
            <w:r>
              <w:rPr/>
              <w:t>3</w:t>
            </w:r>
          </w:p>
        </w:tc>
        <w:tc>
          <w:tcPr>
            <w:tcW w:type="dxa" w:w="2492"/>
          </w:tcPr>
          <w:p>
            <w:pPr>
              <w:pStyle w:val="null3"/>
            </w:pPr>
            <w:r>
              <w:rPr/>
              <w:t>法定代表人身份证明与授权委托书</w:t>
            </w:r>
          </w:p>
        </w:tc>
        <w:tc>
          <w:tcPr>
            <w:tcW w:type="dxa" w:w="3322"/>
          </w:tcPr>
          <w:p>
            <w:pPr>
              <w:pStyle w:val="null3"/>
            </w:pPr>
            <w:r>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t>供应商应提交的资格证明文件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（1）响应文件的签字、盖章：投标文件上法定代表人或其委托代理人的签字齐全并加盖单位章；响应文件应逐页加盖单位公章，且公章清晰可见； （2）响应文件格式：应符合磋商文件要求； （3）报价唯一：只能有一个有效报价，不得提交选择性报价，且报价不超过采购预算。</w:t>
            </w:r>
          </w:p>
        </w:tc>
        <w:tc>
          <w:tcPr>
            <w:tcW w:type="dxa" w:w="1661"/>
          </w:tcPr>
          <w:p>
            <w:pPr>
              <w:pStyle w:val="null3"/>
            </w:pPr>
            <w:r>
              <w:rPr/>
              <w:t>响应文件封面 产品技术参数表 中小企业声明函 残疾人福利性单位声明函 商务应答表 标的清单 报价表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（1）对响应文件响应程度：要求全面响应，不能有任何采购人不能接受的附加条件；（2）服务时间：应满足磋商文件要求；（4 ) 服务地点：采购人指定点；（5）有效期：应满足磋商文件要求。</w:t>
            </w:r>
          </w:p>
        </w:tc>
        <w:tc>
          <w:tcPr>
            <w:tcW w:type="dxa" w:w="1661"/>
          </w:tcPr>
          <w:p>
            <w:pPr>
              <w:pStyle w:val="null3"/>
            </w:pPr>
            <w:r>
              <w:rPr/>
              <w:t>响应文件封面 产品技术参数表 中小企业声明函 残疾人福利性单位声明函 商务应答表 标的清单 报价表 响应函 监狱企业的证明文件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价格分</w:t>
            </w:r>
          </w:p>
        </w:tc>
        <w:tc>
          <w:tcPr>
            <w:tcW w:type="dxa" w:w="2492"/>
          </w:tcPr>
          <w:p>
            <w:pPr>
              <w:pStyle w:val="null3"/>
            </w:pPr>
            <w:r>
              <w:rPr/>
              <w:t>满足磋商文件全部实质性要求，且磋商价格（下浮率）最低的报价为磋商基准价，其价格分为满分。磋商小组认为某磋商报价有低于成本价嫌疑且不能提供合理说明的，为无效报价。磋商报价得分=（磋商基准价/磋商报价）*价格分值。注：对符合《政府采购促进中小企业发展管理办法》（财库〔2020〕46号）规定的小微企业（监狱企业视同小型、微型企业）的报价给予 10% 的扣除，用扣除后的价格参加评审。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技术评审</w:t>
            </w:r>
          </w:p>
        </w:tc>
        <w:tc>
          <w:tcPr>
            <w:tcW w:type="dxa" w:w="2492"/>
          </w:tcPr>
          <w:p>
            <w:pPr>
              <w:pStyle w:val="null3"/>
            </w:pPr>
            <w:r>
              <w:rPr/>
              <w:t>产品选型：所投燃料选型合理，性能稳定；有详细的参数、规格型号、性能等技术说明资料，如产品彩页、官网截图、功能截图、检测报告表述清楚明确、充分。 提供的资料内容齐全、所投产品完全满足或优于采购要求得（10-15]分； 提供的内容简单，不能明确产品选型的得（5-10]分； 提供的内容有缺项，产品基本符合采购需求的得【1-5】分； 未提供相关资料的不得分。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服务承诺</w:t>
            </w:r>
          </w:p>
        </w:tc>
        <w:tc>
          <w:tcPr>
            <w:tcW w:type="dxa" w:w="2492"/>
          </w:tcPr>
          <w:p>
            <w:pPr>
              <w:pStyle w:val="null3"/>
            </w:pPr>
            <w:r>
              <w:rPr/>
              <w:t>提出后期服务承诺，按其响应程度计【0~5】分。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2021年11月1日至今的类似业绩，每提供1份得2分，满分10分。业绩证明（以磋商响应文件中的合同复印件为准，原件备查；弄虚作假者取消其磋商、成交资格）。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1.产品的质量标准符合国际、国家相关要求和规定，稳定可靠，根据情况得[0-5]分。 2.产品货源渠道正规、供应充足，产地及制造商明确，货物来源渠道正规可追溯，提供相关证明材料。根据情况得[0-3]分。 3.供应商提供质量保证磋商，内容完整，描述清晰，且能针对性满足项目需求的，得（4-7分]； 内容有缺项，描述简单，可行性一般，基本满足项目需要的，按响应情况得（1-4]分；未提供不得分。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项目进度计划与保障措施</w:t>
            </w:r>
          </w:p>
        </w:tc>
        <w:tc>
          <w:tcPr>
            <w:tcW w:type="dxa" w:w="2492"/>
          </w:tcPr>
          <w:p>
            <w:pPr>
              <w:pStyle w:val="null3"/>
            </w:pPr>
            <w:r>
              <w:rPr/>
              <w:t>1.项目进度计划安排具体，实施人员落实到位，进度协调配套措施得力。内容完整，描述清晰，且能针对性满足项目需求的得（5-10分]； 2.内容有缺项，描述简单，可行性一般，基本满足项目需要的，按响应情况得【1-5】； 3.未提供不得分。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提供售后服务的能力及具体的售后服务方案（拟投入售后服务人员配置情况、日常维护、故障响应时间及应对措施，出现质量问题的响应时间，能有效保障本地化技术服务及售后服务的协调性、及时性）。 方案及措施，详细、全面、科学合理、可行的得（5-10】分； 售后方案及措施简单、可行性一般赋【1-5】; 不提供本项不得分。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应急保障方案</w:t>
            </w:r>
          </w:p>
        </w:tc>
        <w:tc>
          <w:tcPr>
            <w:tcW w:type="dxa" w:w="2492"/>
          </w:tcPr>
          <w:p>
            <w:pPr>
              <w:pStyle w:val="null3"/>
            </w:pPr>
            <w:r>
              <w:rPr/>
              <w:t>结合本项目实际应用、环境等情况，提供本项目应急保障方案。内容详尽、描述清晰、合理得（3-5】分；应急方案内容简单、有描述得【1-3】分；不提供不得分。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详见附件：供应商应提交的资格证明文件</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