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>
      <w:pPr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供应商应如实列出以上情况，如有隐瞒，一经查实将导致其报价申请被拒绝。2.供应商应提供双方签订的合同（</w:t>
      </w:r>
      <w:r>
        <w:rPr>
          <w:rFonts w:hint="eastAsia" w:ascii="仿宋" w:hAnsi="仿宋" w:cs="仿宋"/>
          <w:color w:val="36363D"/>
          <w:lang w:val="en-US" w:eastAsia="zh-CN"/>
        </w:rPr>
        <w:t>后附加盖公章的</w:t>
      </w:r>
      <w:r>
        <w:rPr>
          <w:rFonts w:hint="eastAsia" w:ascii="仿宋" w:hAnsi="仿宋" w:cs="仿宋"/>
          <w:color w:val="36363D"/>
        </w:rPr>
        <w:t>合同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）</w:t>
      </w:r>
    </w:p>
    <w:p>
      <w:pPr>
        <w:pStyle w:val="4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2061B20"/>
    <w:rsid w:val="28C0068A"/>
    <w:rsid w:val="5206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陕西中技招标有限公司</cp:lastModifiedBy>
  <dcterms:modified xsi:type="dcterms:W3CDTF">2023-09-21T08:35:35Z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1707DBAA332F4095B0195986E3787830_11</vt:lpwstr>
  </property>
</Properties>
</file>