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F7A73F">
      <w:pPr>
        <w:pStyle w:val="6"/>
        <w:pageBreakBefore w:val="0"/>
        <w:wordWrap/>
        <w:overflowPunct/>
        <w:topLinePunct w:val="0"/>
        <w:bidi w:val="0"/>
        <w:spacing w:line="360" w:lineRule="auto"/>
        <w:rPr>
          <w:rFonts w:hint="eastAsia" w:ascii="仿宋" w:hAnsi="仿宋" w:eastAsia="仿宋" w:cs="仿宋"/>
          <w:kern w:val="0"/>
          <w:sz w:val="20"/>
          <w:szCs w:val="20"/>
          <w:highlight w:val="none"/>
          <w:lang w:val="en-US" w:eastAsia="zh-CN"/>
        </w:rPr>
      </w:pPr>
      <w:bookmarkStart w:id="0" w:name="_GoBack"/>
      <w:r>
        <w:rPr>
          <w:rFonts w:hint="eastAsia" w:ascii="仿宋" w:hAnsi="仿宋" w:eastAsia="仿宋" w:cs="仿宋"/>
          <w:b/>
          <w:bCs/>
          <w:kern w:val="0"/>
          <w:sz w:val="20"/>
          <w:szCs w:val="20"/>
          <w:highlight w:val="none"/>
          <w:lang w:val="en-US" w:eastAsia="zh-CN"/>
        </w:rPr>
        <w:t>采购需求附件：</w:t>
      </w:r>
    </w:p>
    <w:p w14:paraId="6E7251B8">
      <w:pPr>
        <w:pStyle w:val="2"/>
        <w:keepNext w:val="0"/>
        <w:keepLines w:val="0"/>
        <w:pageBreakBefore w:val="0"/>
        <w:numPr>
          <w:ilvl w:val="1"/>
          <w:numId w:val="0"/>
        </w:numPr>
        <w:kinsoku/>
        <w:wordWrap/>
        <w:overflowPunct/>
        <w:topLinePunct w:val="0"/>
        <w:autoSpaceDE/>
        <w:autoSpaceDN/>
        <w:bidi w:val="0"/>
        <w:spacing w:line="560" w:lineRule="exact"/>
        <w:ind w:left="0" w:leftChars="0" w:firstLine="0" w:firstLineChars="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一、</w:t>
      </w:r>
      <w:r>
        <w:rPr>
          <w:rFonts w:hint="eastAsia" w:ascii="仿宋" w:hAnsi="仿宋" w:eastAsia="仿宋" w:cs="仿宋"/>
          <w:sz w:val="20"/>
          <w:szCs w:val="20"/>
          <w:highlight w:val="none"/>
        </w:rPr>
        <w:t>项目概况</w:t>
      </w:r>
    </w:p>
    <w:p w14:paraId="7CA908F1">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按照国务院国资委《加快推进国资国企在线监管系统建设工作的通知》（国资厅〔2021〕145号文）要求力争2025年底前，全国国资国企全面建立横向到边、纵向到底、全面协同的数字化智能化监管体系。全国国资国企在线监管系统的系统集成和大数据分析能力全面增强，在辅助政务决策、服务企业发展方面作用充分发挥；绘制的企业“监管画像”更加直观准确，监测预警和风险防范能力全面提升，保障国资国企发展改革监管和党的建设工作更加有力。同时，国有企业协同发展取得明显成效，员工在线、管理在线、产品在线和客户在线的网络化运营架构更加高效；泛在链接、融合云化、数据驱动和业务贯通的数字化支撑体系全面升级；全面感知、智能辨识、智能分析和智能预测的智能化管理模式日趋成熟，驱动引领更多国有企业成为具有全球竞争力的世界一流企业。”</w:t>
      </w:r>
    </w:p>
    <w:p w14:paraId="22514D1B">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关于进一步推动构建国资监管大格局有关工作的通知》（国资发法规〔2019〕117号）明确：各级国资委要以习近平新时代中国特色社会主义思想为指导，深入学习贯彻党中央关于推进国家治理体系和治理能力现代化，形成以管资本为主的国有资产监管体制的决策部署。要充分认识到，构建国资监管大格局、形成国资监管一盘棋，有利于从党和国家事业发展全局的高度，统筹推进国资国企发展改革监管和党的建设，有利于更大范围、更广领域、更深层次推动国有资本合理流动、优化配置，有利于更好落实以管资本为主加强国有资产监管的要求，为国有企业改革发展提供良好的监管环境。各级国资委要立足全面履行国资监管职责，健全国资监管工作体系，完善工作机制，力争用2至3年时间推动实现机构职能上下贯通、法规制度协同一致、行权履职规范统一、改革发展统筹有序、党的领导坚强有力、系统合力明显增强，加快形成国资监管一盘棋。</w:t>
      </w:r>
    </w:p>
    <w:p w14:paraId="132E80F7">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西安市未央区国资国企在线监管系统采购项目</w:t>
      </w:r>
      <w:r>
        <w:rPr>
          <w:rFonts w:hint="eastAsia" w:ascii="仿宋" w:hAnsi="仿宋" w:eastAsia="仿宋" w:cs="仿宋"/>
          <w:sz w:val="20"/>
          <w:szCs w:val="20"/>
          <w:highlight w:val="none"/>
        </w:rPr>
        <w:t>建设以互联网+等信息化技术为核心，按照国家政策要求及指示，建立</w:t>
      </w:r>
      <w:r>
        <w:rPr>
          <w:rFonts w:hint="eastAsia" w:ascii="仿宋" w:hAnsi="仿宋" w:eastAsia="仿宋" w:cs="仿宋"/>
          <w:sz w:val="20"/>
          <w:szCs w:val="20"/>
          <w:highlight w:val="none"/>
          <w:lang w:eastAsia="zh-CN"/>
        </w:rPr>
        <w:t>未央区</w:t>
      </w:r>
      <w:r>
        <w:rPr>
          <w:rFonts w:hint="eastAsia" w:ascii="仿宋" w:hAnsi="仿宋" w:eastAsia="仿宋" w:cs="仿宋"/>
          <w:sz w:val="20"/>
          <w:szCs w:val="20"/>
          <w:highlight w:val="none"/>
        </w:rPr>
        <w:t>国资监管数据采集、共享、管理机制，建设</w:t>
      </w:r>
      <w:r>
        <w:rPr>
          <w:rFonts w:hint="eastAsia" w:ascii="仿宋" w:hAnsi="仿宋" w:eastAsia="仿宋" w:cs="仿宋"/>
          <w:sz w:val="20"/>
          <w:szCs w:val="20"/>
          <w:highlight w:val="none"/>
          <w:lang w:eastAsia="zh-CN"/>
        </w:rPr>
        <w:t>未央区</w:t>
      </w:r>
      <w:r>
        <w:rPr>
          <w:rFonts w:hint="eastAsia" w:ascii="仿宋" w:hAnsi="仿宋" w:eastAsia="仿宋" w:cs="仿宋"/>
          <w:sz w:val="20"/>
          <w:szCs w:val="20"/>
          <w:highlight w:val="none"/>
        </w:rPr>
        <w:t>国资监管的标准规范，构建国资监管大格局，形成国资监管一盘棋。</w:t>
      </w:r>
    </w:p>
    <w:p w14:paraId="3C265442">
      <w:pPr>
        <w:pStyle w:val="2"/>
        <w:keepNext w:val="0"/>
        <w:keepLines w:val="0"/>
        <w:pageBreakBefore w:val="0"/>
        <w:numPr>
          <w:ilvl w:val="1"/>
          <w:numId w:val="0"/>
        </w:numPr>
        <w:kinsoku/>
        <w:wordWrap/>
        <w:overflowPunct/>
        <w:topLinePunct w:val="0"/>
        <w:autoSpaceDE/>
        <w:autoSpaceDN/>
        <w:bidi w:val="0"/>
        <w:spacing w:line="560" w:lineRule="exact"/>
        <w:ind w:left="0" w:leftChars="0" w:firstLine="0" w:firstLineChars="0"/>
        <w:textAlignment w:val="auto"/>
        <w:rPr>
          <w:rFonts w:hint="eastAsia" w:ascii="仿宋" w:hAnsi="仿宋" w:eastAsia="仿宋" w:cs="仿宋"/>
          <w:sz w:val="20"/>
          <w:szCs w:val="20"/>
          <w:highlight w:val="none"/>
          <w:lang w:val="en-US" w:eastAsia="zh-CN"/>
        </w:rPr>
      </w:pPr>
      <w:r>
        <w:rPr>
          <w:rFonts w:hint="eastAsia" w:ascii="仿宋" w:hAnsi="仿宋" w:eastAsia="仿宋" w:cs="仿宋"/>
          <w:b/>
          <w:kern w:val="2"/>
          <w:sz w:val="20"/>
          <w:szCs w:val="20"/>
          <w:highlight w:val="none"/>
          <w:lang w:val="en-US" w:eastAsia="zh-CN" w:bidi="ar-SA"/>
        </w:rPr>
        <w:t>.</w:t>
      </w:r>
      <w:r>
        <w:rPr>
          <w:rFonts w:hint="eastAsia" w:ascii="仿宋" w:hAnsi="仿宋" w:eastAsia="仿宋" w:cs="仿宋"/>
          <w:sz w:val="20"/>
          <w:szCs w:val="20"/>
          <w:highlight w:val="none"/>
          <w:lang w:val="en-US" w:eastAsia="zh-CN"/>
        </w:rPr>
        <w:t>二、项目建设内容</w:t>
      </w:r>
    </w:p>
    <w:p w14:paraId="10F828A8">
      <w:pPr>
        <w:keepNext w:val="0"/>
        <w:keepLines w:val="0"/>
        <w:pageBreakBefore w:val="0"/>
        <w:numPr>
          <w:ilvl w:val="0"/>
          <w:numId w:val="2"/>
        </w:numPr>
        <w:kinsoku/>
        <w:wordWrap/>
        <w:overflowPunct/>
        <w:topLinePunct w:val="0"/>
        <w:autoSpaceDE/>
        <w:autoSpaceDN/>
        <w:bidi w:val="0"/>
        <w:adjustRightInd w:val="0"/>
        <w:snapToGrid w:val="0"/>
        <w:spacing w:line="560" w:lineRule="exact"/>
        <w:ind w:left="0" w:leftChars="0"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数据指标规范梳理</w:t>
      </w:r>
    </w:p>
    <w:p w14:paraId="065C102C">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根据国务院、省市国资监管机构及其他信息技术标准的要求，制定一套</w:t>
      </w:r>
      <w:r>
        <w:rPr>
          <w:rFonts w:hint="eastAsia" w:ascii="仿宋" w:hAnsi="仿宋" w:eastAsia="仿宋" w:cs="仿宋"/>
          <w:sz w:val="20"/>
          <w:szCs w:val="20"/>
          <w:highlight w:val="none"/>
          <w:lang w:val="en-US" w:eastAsia="zh-CN"/>
        </w:rPr>
        <w:t>未央区国资国企在线监管系统</w:t>
      </w:r>
      <w:r>
        <w:rPr>
          <w:rFonts w:hint="eastAsia" w:ascii="仿宋" w:hAnsi="仿宋" w:eastAsia="仿宋" w:cs="仿宋"/>
          <w:sz w:val="20"/>
          <w:szCs w:val="20"/>
          <w:highlight w:val="none"/>
        </w:rPr>
        <w:t>建设的数据资源规范，包括数据指标体系梳理、数据资源管理标准规范、数据运营规范、数据安全标准。各类规范须符合满足</w:t>
      </w:r>
      <w:r>
        <w:rPr>
          <w:rFonts w:hint="eastAsia" w:ascii="仿宋" w:hAnsi="仿宋" w:eastAsia="仿宋" w:cs="仿宋"/>
          <w:sz w:val="20"/>
          <w:szCs w:val="20"/>
          <w:highlight w:val="none"/>
          <w:lang w:val="en-US" w:eastAsia="zh-CN"/>
        </w:rPr>
        <w:t>未央区</w:t>
      </w:r>
      <w:r>
        <w:rPr>
          <w:rFonts w:hint="eastAsia" w:ascii="仿宋" w:hAnsi="仿宋" w:eastAsia="仿宋" w:cs="仿宋"/>
          <w:sz w:val="20"/>
          <w:szCs w:val="20"/>
          <w:highlight w:val="none"/>
        </w:rPr>
        <w:t>国资监管各项业务的实际需求，确保当前以及将来能够支撑监管企业接入、监管业务和分析决策应用。</w:t>
      </w:r>
    </w:p>
    <w:p w14:paraId="338E254C">
      <w:pPr>
        <w:keepNext w:val="0"/>
        <w:keepLines w:val="0"/>
        <w:pageBreakBefore w:val="0"/>
        <w:numPr>
          <w:ilvl w:val="0"/>
          <w:numId w:val="2"/>
        </w:numPr>
        <w:kinsoku/>
        <w:wordWrap/>
        <w:overflowPunct/>
        <w:topLinePunct w:val="0"/>
        <w:autoSpaceDE/>
        <w:autoSpaceDN/>
        <w:bidi w:val="0"/>
        <w:adjustRightInd w:val="0"/>
        <w:snapToGrid w:val="0"/>
        <w:spacing w:line="560" w:lineRule="exact"/>
        <w:ind w:left="0" w:leftChars="0"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数据采集交换平台</w:t>
      </w:r>
    </w:p>
    <w:p w14:paraId="45814015">
      <w:pPr>
        <w:pStyle w:val="3"/>
        <w:keepNext w:val="0"/>
        <w:keepLines w:val="0"/>
        <w:pageBreakBefore w:val="0"/>
        <w:kinsoku/>
        <w:wordWrap/>
        <w:overflowPunct/>
        <w:topLinePunct w:val="0"/>
        <w:autoSpaceDE/>
        <w:autoSpaceDN/>
        <w:bidi w:val="0"/>
        <w:spacing w:line="560" w:lineRule="exact"/>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数据采集交换平台是国资国企在线监管大数据系统的公共性和基础性功能。通过该平台的建设，构建国资监管数据统一采集机制，建立高质量、自动化、高效灵活、安全可靠的数据交换平台。</w:t>
      </w:r>
    </w:p>
    <w:p w14:paraId="45F8DC07">
      <w:pPr>
        <w:keepNext w:val="0"/>
        <w:keepLines w:val="0"/>
        <w:pageBreakBefore w:val="0"/>
        <w:numPr>
          <w:ilvl w:val="0"/>
          <w:numId w:val="2"/>
        </w:numPr>
        <w:kinsoku/>
        <w:wordWrap/>
        <w:overflowPunct/>
        <w:topLinePunct w:val="0"/>
        <w:autoSpaceDE/>
        <w:autoSpaceDN/>
        <w:bidi w:val="0"/>
        <w:adjustRightInd w:val="0"/>
        <w:snapToGrid w:val="0"/>
        <w:spacing w:line="560" w:lineRule="exact"/>
        <w:ind w:left="0" w:leftChars="0"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应用支撑平台</w:t>
      </w:r>
    </w:p>
    <w:p w14:paraId="71D09DCE">
      <w:pPr>
        <w:pStyle w:val="3"/>
        <w:keepNext w:val="0"/>
        <w:keepLines w:val="0"/>
        <w:pageBreakBefore w:val="0"/>
        <w:kinsoku/>
        <w:wordWrap/>
        <w:overflowPunct/>
        <w:topLinePunct w:val="0"/>
        <w:autoSpaceDE/>
        <w:autoSpaceDN/>
        <w:bidi w:val="0"/>
        <w:spacing w:line="560" w:lineRule="exact"/>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应用支撑平台具备较好的扩展性及二次开发能力，具有先进、安全可靠、开放的相关技术，包括统一用户管理、消息服务、数据库、表单设计、可视化报表制作展示工具、个性化定制和其他组件工具，采用统一的组织架构管理系统，具备快速构建流程化业务应用的能力。</w:t>
      </w:r>
    </w:p>
    <w:p w14:paraId="5BCB2A7F">
      <w:pPr>
        <w:keepNext w:val="0"/>
        <w:keepLines w:val="0"/>
        <w:pageBreakBefore w:val="0"/>
        <w:numPr>
          <w:ilvl w:val="0"/>
          <w:numId w:val="2"/>
        </w:numPr>
        <w:kinsoku/>
        <w:wordWrap/>
        <w:overflowPunct/>
        <w:topLinePunct w:val="0"/>
        <w:autoSpaceDE/>
        <w:autoSpaceDN/>
        <w:bidi w:val="0"/>
        <w:adjustRightInd w:val="0"/>
        <w:snapToGrid w:val="0"/>
        <w:spacing w:line="560" w:lineRule="exact"/>
        <w:ind w:left="0" w:leftChars="0"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监管业务系统</w:t>
      </w:r>
    </w:p>
    <w:p w14:paraId="2E4F3AF6">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.1企业基本信息管理</w:t>
      </w:r>
    </w:p>
    <w:p w14:paraId="2A9D8C08">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企业基本信息管理主要完成对监管企业组织机构单位基本信息、企业组织机构股权结构信息、企业组织机构参股信息、企业组织机构人员信息、企业组织负责人信息等企业基础信息进行统一管理，系统建设目的实现对全区国有企业组织机构信息的统一管理，从而达到信息来源统一、口径统一、编码统一、标准统一。</w:t>
      </w:r>
    </w:p>
    <w:p w14:paraId="467A8FE4">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rPr>
        <w:t>财务</w:t>
      </w:r>
      <w:r>
        <w:rPr>
          <w:rFonts w:hint="eastAsia" w:ascii="仿宋" w:hAnsi="仿宋" w:eastAsia="仿宋" w:cs="仿宋"/>
          <w:sz w:val="20"/>
          <w:szCs w:val="20"/>
          <w:highlight w:val="none"/>
          <w:lang w:val="en-US" w:eastAsia="zh-CN"/>
        </w:rPr>
        <w:t>监督管理</w:t>
      </w:r>
    </w:p>
    <w:p w14:paraId="07114DB3">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财务监管系统需包含企业财务快报管理、企业财务预决算管理的功能；通过预先设置各类报表、各类数据的“基础模板”,辅助监管人员在财务监督管理过程中实现事前预报、事中管理、事后预警的财务监管。</w:t>
      </w:r>
    </w:p>
    <w:p w14:paraId="6B13E72A">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财务监管数据采集需实现在线采集所监管企业的财务</w:t>
      </w:r>
      <w:r>
        <w:rPr>
          <w:rFonts w:hint="eastAsia" w:ascii="仿宋" w:hAnsi="仿宋" w:eastAsia="仿宋" w:cs="仿宋"/>
          <w:sz w:val="20"/>
          <w:szCs w:val="20"/>
          <w:highlight w:val="none"/>
          <w:lang w:eastAsia="zh-CN"/>
        </w:rPr>
        <w:t>指标</w:t>
      </w:r>
      <w:r>
        <w:rPr>
          <w:rFonts w:hint="eastAsia" w:ascii="仿宋" w:hAnsi="仿宋" w:eastAsia="仿宋" w:cs="仿宋"/>
          <w:sz w:val="20"/>
          <w:szCs w:val="20"/>
          <w:highlight w:val="none"/>
        </w:rPr>
        <w:t>信息及相关经济运行指标。系统应支持手工报送、自动抓取的等多种采集方式，实现企业财务报表的自动报送、审核、汇总功能，可以实时地汇总、查询与分析、各经营板块、经济运营情况。</w:t>
      </w:r>
    </w:p>
    <w:p w14:paraId="340175C7">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4.3三重一大管理</w:t>
      </w:r>
    </w:p>
    <w:p w14:paraId="49D27F47">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支持按照国资委监管要求，针对三重一大事项进行基础设置、制度管理、多级事项清单设置、议题管理、会议管理、资金信息管理、数据报送以及丰富灵活的统计分析。实现对未央区财政局权责清单监管事项、企业三重一大及其他重大事项进行记录、审批、报送及归档。</w:t>
      </w:r>
    </w:p>
    <w:p w14:paraId="2D1E08E4">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4.4债务管理</w:t>
      </w:r>
    </w:p>
    <w:p w14:paraId="4D6C6957">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通过债务管理实现对监管企业及项目的专项债务管理。包括专项债务的资金需求、资金的供给情况、资金缺口及筹资计划，可以根据资金缺口及资金临近天数提前预警。</w:t>
      </w:r>
    </w:p>
    <w:p w14:paraId="71D2E16E">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4.5资产管理</w:t>
      </w:r>
    </w:p>
    <w:p w14:paraId="11B7B452">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资产管理有助于实现对国有资产的全面、动态、实时的监管和管理，提高国有资产的使用效益和管理水平。同时，该模块与其他子模块进行数据共享和交互，实现国有资产监管的信息化和智能化。通过资产门户对资产管理中资产总数、本年新增资产、本年处置资产等指标进行数据的统计和分析，通过条形图、饼状图、折线图等形式进行展示。</w:t>
      </w:r>
    </w:p>
    <w:p w14:paraId="216B18E6">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4.6人事管理</w:t>
      </w:r>
    </w:p>
    <w:p w14:paraId="356AAE84">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通过对企业人事系统进行数据采集完成企业人员基础管理、领导人员管理、后备人才管理、培训管理、人力资源统计分析等，同时根据企业人才资源规划方案和用工情况等，实现对各类人才流动状态如入职、调动、退休、升迁等的统计分析，动态监管人员编制超标或短缺情况。</w:t>
      </w:r>
    </w:p>
    <w:p w14:paraId="0A471EE0">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4.7党建管理</w:t>
      </w:r>
    </w:p>
    <w:p w14:paraId="54A2F125">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党建管理主要实现国资委党委以及国有企业党组织建设、领导班子建设、人才队伍建设、党的宣传工作、精神文明建设、党风廉政建设、扶贫工作等方面的管理。</w:t>
      </w:r>
    </w:p>
    <w:p w14:paraId="01D23D41">
      <w:pPr>
        <w:pStyle w:val="2"/>
        <w:keepNext w:val="0"/>
        <w:keepLines w:val="0"/>
        <w:pageBreakBefore w:val="0"/>
        <w:numPr>
          <w:ilvl w:val="1"/>
          <w:numId w:val="0"/>
        </w:numPr>
        <w:kinsoku/>
        <w:wordWrap/>
        <w:overflowPunct/>
        <w:topLinePunct w:val="0"/>
        <w:autoSpaceDE/>
        <w:autoSpaceDN/>
        <w:bidi w:val="0"/>
        <w:spacing w:line="560" w:lineRule="exact"/>
        <w:ind w:left="0" w:leftChars="0" w:firstLine="0" w:firstLineChars="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三、平台系统性能参数</w:t>
      </w:r>
    </w:p>
    <w:p w14:paraId="3D041099">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①系统用户界面</w:t>
      </w:r>
    </w:p>
    <w:p w14:paraId="71F44C5B">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系统人机界面友好，输出、输入方便，图表生成美观，检索、查询简单快捷。用户界面包括整体窗口风格、主菜单、右键菜单、工具栏、按扭、对话框、字体及其大小、页面色调等部分组成。以目前系统的用户界面为基础，界面设计要求风格、样式等保持统一、界面简洁、色调搭配符合技术要求规范。</w:t>
      </w:r>
    </w:p>
    <w:p w14:paraId="5BC5D7E7">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②兼容平台</w:t>
      </w:r>
    </w:p>
    <w:p w14:paraId="022755B7">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国资监管系统建设过程需综合考虑安全性、稳定性、易用性、兼容性、开放性、扩展性，满足集中开发、分级部署、灵活接入的规模化业务应用需求。</w:t>
      </w:r>
    </w:p>
    <w:p w14:paraId="2FF2155E">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构建系统开发和运行环境的技术核心应满足但不限于以下要求：</w:t>
      </w:r>
    </w:p>
    <w:p w14:paraId="7E174D58">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rPr>
        <w:t>.1采用多层架构的B/S结构，兼容IE11、Edge、Chrome、火狐等浏览器；</w:t>
      </w:r>
    </w:p>
    <w:p w14:paraId="1800625D">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rPr>
        <w:t>.2采用安可适配的语言技术进行系统架构设计和系统开发；</w:t>
      </w:r>
    </w:p>
    <w:p w14:paraId="568E1697">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rPr>
        <w:t>.3支持国产数据库，支持无缝对接 Hadoop生态的大数据库等；</w:t>
      </w:r>
    </w:p>
    <w:p w14:paraId="4C557598">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rPr>
        <w:t>.4支持国产操作系统；</w:t>
      </w:r>
    </w:p>
    <w:p w14:paraId="2F614307">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rPr>
        <w:t>.5支持主流国产中间件；</w:t>
      </w:r>
    </w:p>
    <w:p w14:paraId="321969B6">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rPr>
        <w:t>.6采用组件技术提供系统的快速开发和更新；</w:t>
      </w:r>
    </w:p>
    <w:p w14:paraId="032F6174">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rPr>
        <w:t>.7提供功能和数据级别的权限管理体系，可以从功能、菜单、数据维度等角度对系统进行权限管理。</w:t>
      </w:r>
    </w:p>
    <w:p w14:paraId="7AA52DFF">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 xml:space="preserve">2.8 </w:t>
      </w:r>
      <w:r>
        <w:rPr>
          <w:rFonts w:hint="eastAsia" w:ascii="仿宋" w:hAnsi="仿宋" w:eastAsia="仿宋" w:cs="仿宋"/>
          <w:sz w:val="20"/>
          <w:szCs w:val="20"/>
          <w:highlight w:val="none"/>
          <w:lang w:val="en-US" w:eastAsia="zh-CN"/>
        </w:rPr>
        <w:t>①稳定性指标系统保证7*24 小时不间断运行。②吞吐量指标接口服务并发量≥500。业务申请响应时间≤10 秒 。页面查询服务响应时间≤5 秒。数据服务响应时间≤2 秒。</w:t>
      </w:r>
    </w:p>
    <w:p w14:paraId="7B5C383D">
      <w:pPr>
        <w:pStyle w:val="2"/>
        <w:keepNext w:val="0"/>
        <w:keepLines w:val="0"/>
        <w:pageBreakBefore w:val="0"/>
        <w:numPr>
          <w:ilvl w:val="1"/>
          <w:numId w:val="0"/>
        </w:numPr>
        <w:kinsoku/>
        <w:wordWrap/>
        <w:overflowPunct/>
        <w:topLinePunct w:val="0"/>
        <w:autoSpaceDE/>
        <w:autoSpaceDN/>
        <w:bidi w:val="0"/>
        <w:spacing w:line="560" w:lineRule="exact"/>
        <w:ind w:left="0" w:leftChars="0" w:firstLine="0" w:firstLineChars="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四、建设期要求</w:t>
      </w:r>
    </w:p>
    <w:p w14:paraId="0A731289">
      <w:pPr>
        <w:keepNext w:val="0"/>
        <w:keepLines w:val="0"/>
        <w:pageBreakBefore w:val="0"/>
        <w:kinsoku/>
        <w:wordWrap/>
        <w:overflowPunct/>
        <w:topLinePunct w:val="0"/>
        <w:autoSpaceDE/>
        <w:autoSpaceDN/>
        <w:bidi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本项目服务期为：</w:t>
      </w:r>
      <w:r>
        <w:rPr>
          <w:rFonts w:hint="eastAsia" w:ascii="仿宋" w:hAnsi="仿宋" w:eastAsia="仿宋" w:cs="仿宋"/>
          <w:sz w:val="20"/>
          <w:szCs w:val="20"/>
          <w:highlight w:val="none"/>
          <w:lang w:val="en-US" w:eastAsia="zh-CN"/>
        </w:rPr>
        <w:t>自合同签订之日起2年；建设期为3个月，2个月达到试运行阶段。</w:t>
      </w:r>
    </w:p>
    <w:p w14:paraId="297C0056">
      <w:pPr>
        <w:keepNext w:val="0"/>
        <w:keepLines w:val="0"/>
        <w:pageBreakBefore w:val="0"/>
        <w:kinsoku/>
        <w:wordWrap/>
        <w:overflowPunct/>
        <w:topLinePunct w:val="0"/>
        <w:autoSpaceDE/>
        <w:autoSpaceDN/>
        <w:bidi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第一阶段：前期准备(包括需求调研，根据建设方的要求，明确建设细节等);</w:t>
      </w:r>
    </w:p>
    <w:p w14:paraId="57D2A182">
      <w:pPr>
        <w:keepNext w:val="0"/>
        <w:keepLines w:val="0"/>
        <w:pageBreakBefore w:val="0"/>
        <w:kinsoku/>
        <w:wordWrap/>
        <w:overflowPunct/>
        <w:topLinePunct w:val="0"/>
        <w:autoSpaceDE/>
        <w:autoSpaceDN/>
        <w:bidi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第二阶段：总体规划和总设计方案；</w:t>
      </w:r>
    </w:p>
    <w:p w14:paraId="4A5E3426">
      <w:pPr>
        <w:keepNext w:val="0"/>
        <w:keepLines w:val="0"/>
        <w:pageBreakBefore w:val="0"/>
        <w:kinsoku/>
        <w:wordWrap/>
        <w:overflowPunct/>
        <w:topLinePunct w:val="0"/>
        <w:autoSpaceDE/>
        <w:autoSpaceDN/>
        <w:bidi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第三阶段：项目实施；</w:t>
      </w:r>
    </w:p>
    <w:p w14:paraId="3889F55C">
      <w:pPr>
        <w:keepNext w:val="0"/>
        <w:keepLines w:val="0"/>
        <w:pageBreakBefore w:val="0"/>
        <w:kinsoku/>
        <w:wordWrap/>
        <w:overflowPunct/>
        <w:topLinePunct w:val="0"/>
        <w:autoSpaceDE/>
        <w:autoSpaceDN/>
        <w:bidi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第四阶段：调试、初验、培训、试运行；</w:t>
      </w:r>
    </w:p>
    <w:p w14:paraId="29834AF4">
      <w:pPr>
        <w:keepNext w:val="0"/>
        <w:keepLines w:val="0"/>
        <w:pageBreakBefore w:val="0"/>
        <w:kinsoku/>
        <w:wordWrap/>
        <w:overflowPunct/>
        <w:topLinePunct w:val="0"/>
        <w:autoSpaceDE/>
        <w:autoSpaceDN/>
        <w:bidi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第五阶段：整体验收。</w:t>
      </w:r>
    </w:p>
    <w:p w14:paraId="1A319EE8">
      <w:pPr>
        <w:pStyle w:val="2"/>
        <w:keepNext w:val="0"/>
        <w:keepLines w:val="0"/>
        <w:pageBreakBefore w:val="0"/>
        <w:numPr>
          <w:ilvl w:val="1"/>
          <w:numId w:val="0"/>
        </w:numPr>
        <w:kinsoku/>
        <w:wordWrap/>
        <w:overflowPunct/>
        <w:topLinePunct w:val="0"/>
        <w:autoSpaceDE/>
        <w:autoSpaceDN/>
        <w:bidi w:val="0"/>
        <w:spacing w:line="560" w:lineRule="exact"/>
        <w:ind w:left="0" w:leftChars="0" w:firstLine="0" w:firstLineChars="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五、培训</w:t>
      </w:r>
    </w:p>
    <w:p w14:paraId="130EA357">
      <w:pPr>
        <w:keepNext w:val="0"/>
        <w:keepLines w:val="0"/>
        <w:pageBreakBefore w:val="0"/>
        <w:kinsoku/>
        <w:wordWrap/>
        <w:overflowPunct/>
        <w:topLinePunct w:val="0"/>
        <w:autoSpaceDE/>
        <w:autoSpaceDN/>
        <w:bidi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本项目需要对</w:t>
      </w:r>
      <w:r>
        <w:rPr>
          <w:rFonts w:hint="eastAsia" w:ascii="仿宋" w:hAnsi="仿宋" w:eastAsia="仿宋" w:cs="仿宋"/>
          <w:sz w:val="20"/>
          <w:szCs w:val="20"/>
          <w:highlight w:val="none"/>
          <w:lang w:val="en-US" w:eastAsia="zh-CN"/>
        </w:rPr>
        <w:t>未央区财政局</w:t>
      </w:r>
      <w:r>
        <w:rPr>
          <w:rFonts w:hint="eastAsia" w:ascii="仿宋" w:hAnsi="仿宋" w:eastAsia="仿宋" w:cs="仿宋"/>
          <w:sz w:val="20"/>
          <w:szCs w:val="20"/>
          <w:highlight w:val="none"/>
        </w:rPr>
        <w:t>的相关人员进行应用操作培训，使其了解项目建成后的功能和应用范围，并在工作中起指导和带头作用。</w:t>
      </w:r>
    </w:p>
    <w:p w14:paraId="1CE35965">
      <w:pPr>
        <w:keepNext w:val="0"/>
        <w:keepLines w:val="0"/>
        <w:pageBreakBefore w:val="0"/>
        <w:kinsoku/>
        <w:wordWrap/>
        <w:overflowPunct/>
        <w:topLinePunct w:val="0"/>
        <w:autoSpaceDE/>
        <w:autoSpaceDN/>
        <w:bidi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项目整体建设完成后，需要组织开展系统培训，培训将按照工作人员的素质状况和工作需求，制定培训目标、计划、培训内容和要求，编制统一的培训方案和教材。</w:t>
      </w:r>
    </w:p>
    <w:p w14:paraId="21F83044">
      <w:pPr>
        <w:pStyle w:val="2"/>
        <w:keepNext w:val="0"/>
        <w:keepLines w:val="0"/>
        <w:pageBreakBefore w:val="0"/>
        <w:numPr>
          <w:ilvl w:val="1"/>
          <w:numId w:val="0"/>
        </w:numPr>
        <w:kinsoku/>
        <w:wordWrap/>
        <w:overflowPunct/>
        <w:topLinePunct w:val="0"/>
        <w:autoSpaceDE/>
        <w:autoSpaceDN/>
        <w:bidi w:val="0"/>
        <w:spacing w:line="560" w:lineRule="exact"/>
        <w:ind w:left="0" w:leftChars="0" w:firstLine="0" w:firstLineChars="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六、售后服务</w:t>
      </w:r>
    </w:p>
    <w:p w14:paraId="0C3EB3DE">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①服务内容和范围</w:t>
      </w:r>
    </w:p>
    <w:p w14:paraId="4C585B24">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运行维护的服务范围包括建设项目的所有子系统、模块和所应用的技术。当系统出现问题时，对问题进行诊断、分析，并解决问题。维护范围包括本次建设所涉及的所有内容。在项目交付成功后(无相关补充合同条款的情况下)提供</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rPr>
        <w:t>年质保运维服务，服务内容包括但不限于所有应用系统的需求变动的功能修改、运行维护、数据治理，现场应急支持等工作。并免费提供技术咨询、培训等技术支持服务，根据要求，通过各种形式(如电子邮件、电话、座谈会、研讨会等)就问题和解决方法进行技术交流。包括现有功能升级</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软件版本升级</w:t>
      </w:r>
      <w:r>
        <w:rPr>
          <w:rFonts w:hint="eastAsia" w:ascii="仿宋" w:hAnsi="仿宋" w:eastAsia="仿宋" w:cs="仿宋"/>
          <w:sz w:val="20"/>
          <w:szCs w:val="20"/>
          <w:highlight w:val="none"/>
        </w:rPr>
        <w:t>、运维服务管理咨询服务、系统管理技术指导，修订操作手册等。</w:t>
      </w:r>
    </w:p>
    <w:p w14:paraId="6B5A58B9">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②热线服务</w:t>
      </w:r>
    </w:p>
    <w:p w14:paraId="79B1F58D">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通过热线电话、电子邮件提供技术服务。热线电话每周5×8小时有效，值班工程师可以实时对客户请求进行处理，需要持续跟踪解决的问题将在客户服务呼叫中心备案记录下来并得到跟踪处理直至问题完满解决。项目管理部将对处理完毕已关闭的案例进行客户电话回访，对服务情况进行监督。</w:t>
      </w:r>
    </w:p>
    <w:p w14:paraId="0D0806A7">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③远程维护</w:t>
      </w:r>
    </w:p>
    <w:p w14:paraId="258486C5">
      <w:pPr>
        <w:keepNext w:val="0"/>
        <w:keepLines w:val="0"/>
        <w:pageBreakBefore w:val="0"/>
        <w:kinsoku/>
        <w:wordWrap/>
        <w:overflowPunct/>
        <w:topLinePunct w:val="0"/>
        <w:autoSpaceDE/>
        <w:autoSpaceDN/>
        <w:bidi w:val="0"/>
        <w:adjustRightInd w:val="0"/>
        <w:snapToGrid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提供远程系统维护、跟踪检测、解决问题、技术指导。在质保期内，若系统出现任何故障，提供运维服务保障30分钟内响应，4小时内解决恢复。</w:t>
      </w:r>
    </w:p>
    <w:p w14:paraId="56D1BE4C">
      <w:pPr>
        <w:pStyle w:val="2"/>
        <w:keepNext w:val="0"/>
        <w:keepLines w:val="0"/>
        <w:pageBreakBefore w:val="0"/>
        <w:numPr>
          <w:ilvl w:val="1"/>
          <w:numId w:val="0"/>
        </w:numPr>
        <w:kinsoku/>
        <w:wordWrap/>
        <w:overflowPunct/>
        <w:topLinePunct w:val="0"/>
        <w:autoSpaceDE/>
        <w:autoSpaceDN/>
        <w:bidi w:val="0"/>
        <w:spacing w:line="560" w:lineRule="exact"/>
        <w:ind w:left="0" w:leftChars="0" w:firstLine="0" w:firstLineChars="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七、其他</w:t>
      </w:r>
    </w:p>
    <w:p w14:paraId="2D80A876">
      <w:pPr>
        <w:keepNext w:val="0"/>
        <w:keepLines w:val="0"/>
        <w:pageBreakBefore w:val="0"/>
        <w:kinsoku/>
        <w:wordWrap/>
        <w:overflowPunct/>
        <w:topLinePunct w:val="0"/>
        <w:autoSpaceDE/>
        <w:autoSpaceDN/>
        <w:bidi w:val="0"/>
        <w:spacing w:line="560" w:lineRule="exact"/>
        <w:ind w:firstLine="400" w:firstLineChars="200"/>
        <w:textAlignment w:val="auto"/>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①合同签订后，中标人根据项目建设实际需要，制定详细的实施方案、实施进度计划，并负责系统开发、安装调试等项目实施工作</w:t>
      </w:r>
      <w:r>
        <w:rPr>
          <w:rFonts w:hint="eastAsia" w:ascii="仿宋" w:hAnsi="仿宋" w:eastAsia="仿宋" w:cs="仿宋"/>
          <w:color w:val="000000" w:themeColor="text1"/>
          <w:sz w:val="20"/>
          <w:szCs w:val="20"/>
          <w:highlight w:val="none"/>
          <w:lang w:val="en-US" w:eastAsia="zh-CN"/>
          <w14:textFill>
            <w14:solidFill>
              <w14:schemeClr w14:val="tx1"/>
            </w14:solidFill>
          </w14:textFill>
        </w:rPr>
        <w:t>。</w:t>
      </w:r>
    </w:p>
    <w:p w14:paraId="0D0450B3">
      <w:pPr>
        <w:keepNext w:val="0"/>
        <w:keepLines w:val="0"/>
        <w:pageBreakBefore w:val="0"/>
        <w:kinsoku/>
        <w:wordWrap/>
        <w:overflowPunct/>
        <w:topLinePunct w:val="0"/>
        <w:autoSpaceDE/>
        <w:autoSpaceDN/>
        <w:bidi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②中标人要加强项目实施人员管理，与</w:t>
      </w:r>
      <w:r>
        <w:rPr>
          <w:rFonts w:hint="eastAsia" w:ascii="仿宋" w:hAnsi="仿宋" w:eastAsia="仿宋" w:cs="仿宋"/>
          <w:sz w:val="20"/>
          <w:szCs w:val="20"/>
          <w:highlight w:val="none"/>
          <w:lang w:val="en-US" w:eastAsia="zh-CN"/>
        </w:rPr>
        <w:t>未央区财政局</w:t>
      </w:r>
      <w:r>
        <w:rPr>
          <w:rFonts w:hint="eastAsia" w:ascii="仿宋" w:hAnsi="仿宋" w:eastAsia="仿宋" w:cs="仿宋"/>
          <w:sz w:val="20"/>
          <w:szCs w:val="20"/>
          <w:highlight w:val="none"/>
        </w:rPr>
        <w:t>签订保密承诺书。</w:t>
      </w:r>
    </w:p>
    <w:p w14:paraId="5C435580">
      <w:pPr>
        <w:keepNext w:val="0"/>
        <w:keepLines w:val="0"/>
        <w:pageBreakBefore w:val="0"/>
        <w:kinsoku/>
        <w:wordWrap/>
        <w:overflowPunct/>
        <w:topLinePunct w:val="0"/>
        <w:autoSpaceDE/>
        <w:autoSpaceDN/>
        <w:bidi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在项目实施过程中，中标人要适时组织技术及操作培训，培训对象包括</w:t>
      </w:r>
      <w:r>
        <w:rPr>
          <w:rFonts w:hint="eastAsia" w:ascii="仿宋" w:hAnsi="仿宋" w:eastAsia="仿宋" w:cs="仿宋"/>
          <w:sz w:val="20"/>
          <w:szCs w:val="20"/>
          <w:highlight w:val="none"/>
          <w:lang w:val="en-US" w:eastAsia="zh-CN"/>
        </w:rPr>
        <w:t>未央区财政局</w:t>
      </w:r>
      <w:r>
        <w:rPr>
          <w:rFonts w:hint="eastAsia" w:ascii="仿宋" w:hAnsi="仿宋" w:eastAsia="仿宋" w:cs="仿宋"/>
          <w:sz w:val="20"/>
          <w:szCs w:val="20"/>
          <w:highlight w:val="none"/>
        </w:rPr>
        <w:t>及</w:t>
      </w:r>
      <w:r>
        <w:rPr>
          <w:rFonts w:hint="eastAsia" w:ascii="仿宋" w:hAnsi="仿宋" w:eastAsia="仿宋" w:cs="仿宋"/>
          <w:sz w:val="20"/>
          <w:szCs w:val="20"/>
          <w:highlight w:val="none"/>
          <w:lang w:val="en-US" w:eastAsia="zh-CN"/>
        </w:rPr>
        <w:t>监管</w:t>
      </w:r>
      <w:r>
        <w:rPr>
          <w:rFonts w:hint="eastAsia" w:ascii="仿宋" w:hAnsi="仿宋" w:eastAsia="仿宋" w:cs="仿宋"/>
          <w:sz w:val="20"/>
          <w:szCs w:val="20"/>
          <w:highlight w:val="none"/>
        </w:rPr>
        <w:t>企业等相关人员，并提供详细的系统部署文档、操作手册等。</w:t>
      </w:r>
    </w:p>
    <w:p w14:paraId="05345744">
      <w:pPr>
        <w:keepNext w:val="0"/>
        <w:keepLines w:val="0"/>
        <w:pageBreakBefore w:val="0"/>
        <w:kinsoku/>
        <w:wordWrap/>
        <w:overflowPunct/>
        <w:topLinePunct w:val="0"/>
        <w:autoSpaceDE/>
        <w:autoSpaceDN/>
        <w:bidi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③本项目所有应用系统的功能设计和服务应当遵循</w:t>
      </w:r>
      <w:r>
        <w:rPr>
          <w:rFonts w:hint="eastAsia" w:ascii="仿宋" w:hAnsi="仿宋" w:eastAsia="仿宋" w:cs="仿宋"/>
          <w:sz w:val="20"/>
          <w:szCs w:val="20"/>
          <w:highlight w:val="none"/>
          <w:lang w:val="en-US" w:eastAsia="zh-CN"/>
        </w:rPr>
        <w:t>西安市</w:t>
      </w:r>
      <w:r>
        <w:rPr>
          <w:rFonts w:hint="eastAsia" w:ascii="仿宋" w:hAnsi="仿宋" w:eastAsia="仿宋" w:cs="仿宋"/>
          <w:sz w:val="20"/>
          <w:szCs w:val="20"/>
          <w:highlight w:val="none"/>
        </w:rPr>
        <w:t>国资国企在线监管系统建设总体架构要求，充分满足国资委国资监管实际工作需要，包括但不限于投标文件内容。</w:t>
      </w:r>
    </w:p>
    <w:p w14:paraId="5F266EB4">
      <w:pPr>
        <w:keepNext w:val="0"/>
        <w:keepLines w:val="0"/>
        <w:pageBreakBefore w:val="0"/>
        <w:kinsoku/>
        <w:wordWrap/>
        <w:overflowPunct/>
        <w:topLinePunct w:val="0"/>
        <w:autoSpaceDE/>
        <w:autoSpaceDN/>
        <w:bidi w:val="0"/>
        <w:spacing w:line="56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④项目交付物包括并不限于：用户需求说明书、项目总体实施方案、详细设计说明书、核心业务流程清单</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测试报告等。</w:t>
      </w:r>
    </w:p>
    <w:p w14:paraId="1E07ABB1">
      <w:pPr>
        <w:keepNext w:val="0"/>
        <w:keepLines w:val="0"/>
        <w:pageBreakBefore w:val="0"/>
        <w:kinsoku/>
        <w:wordWrap/>
        <w:overflowPunct/>
        <w:topLinePunct w:val="0"/>
        <w:autoSpaceDE/>
        <w:autoSpaceDN/>
        <w:bidi w:val="0"/>
        <w:spacing w:line="560" w:lineRule="exact"/>
        <w:ind w:firstLine="402" w:firstLineChars="200"/>
        <w:textAlignment w:val="auto"/>
        <w:rPr>
          <w:rFonts w:hint="eastAsia" w:ascii="仿宋" w:hAnsi="仿宋" w:eastAsia="仿宋" w:cs="仿宋"/>
          <w:b/>
          <w:bCs/>
          <w:sz w:val="20"/>
          <w:szCs w:val="20"/>
          <w:highlight w:val="none"/>
          <w:lang w:val="en-US" w:eastAsia="zh-CN"/>
        </w:rPr>
      </w:pPr>
      <w:r>
        <w:rPr>
          <w:rFonts w:hint="eastAsia" w:ascii="仿宋" w:hAnsi="仿宋" w:eastAsia="仿宋" w:cs="仿宋"/>
          <w:b/>
          <w:bCs/>
          <w:sz w:val="20"/>
          <w:szCs w:val="20"/>
          <w:highlight w:val="none"/>
          <w:lang w:val="en-US" w:eastAsia="zh-CN"/>
        </w:rPr>
        <w:t>⑤项目验收前提供2人的驻场服务，</w:t>
      </w:r>
    </w:p>
    <w:p w14:paraId="590A4BE4">
      <w:pPr>
        <w:keepNext w:val="0"/>
        <w:keepLines w:val="0"/>
        <w:pageBreakBefore w:val="0"/>
        <w:kinsoku/>
        <w:wordWrap/>
        <w:overflowPunct/>
        <w:topLinePunct w:val="0"/>
        <w:autoSpaceDE/>
        <w:autoSpaceDN/>
        <w:bidi w:val="0"/>
        <w:spacing w:line="560" w:lineRule="exact"/>
        <w:ind w:firstLine="402" w:firstLineChars="200"/>
        <w:textAlignment w:val="auto"/>
        <w:rPr>
          <w:rFonts w:hint="eastAsia" w:ascii="仿宋" w:hAnsi="仿宋" w:eastAsia="仿宋" w:cs="仿宋"/>
          <w:b/>
          <w:bCs/>
          <w:sz w:val="20"/>
          <w:szCs w:val="20"/>
          <w:highlight w:val="none"/>
          <w:lang w:val="en-US" w:eastAsia="zh-CN"/>
        </w:rPr>
      </w:pPr>
      <w:r>
        <w:rPr>
          <w:rFonts w:hint="eastAsia" w:ascii="仿宋" w:hAnsi="仿宋" w:eastAsia="仿宋" w:cs="仿宋"/>
          <w:b/>
          <w:bCs/>
          <w:sz w:val="20"/>
          <w:szCs w:val="20"/>
          <w:highlight w:val="none"/>
          <w:lang w:val="en-US" w:eastAsia="zh-CN"/>
        </w:rPr>
        <w:t>⑥提供软件运维2年。</w:t>
      </w:r>
    </w:p>
    <w:p w14:paraId="33B1843B">
      <w:pPr>
        <w:spacing w:before="72" w:line="219" w:lineRule="auto"/>
        <w:jc w:val="center"/>
        <w:rPr>
          <w:rFonts w:hint="eastAsia" w:ascii="仿宋" w:hAnsi="仿宋" w:eastAsia="仿宋" w:cs="仿宋"/>
          <w:sz w:val="20"/>
          <w:szCs w:val="20"/>
          <w:highlight w:val="none"/>
        </w:rPr>
      </w:pPr>
      <w:r>
        <w:rPr>
          <w:rFonts w:hint="eastAsia" w:ascii="仿宋" w:hAnsi="仿宋" w:eastAsia="仿宋" w:cs="仿宋"/>
          <w:b/>
          <w:bCs/>
          <w:spacing w:val="-7"/>
          <w:sz w:val="20"/>
          <w:szCs w:val="20"/>
          <w:highlight w:val="none"/>
        </w:rPr>
        <w:t>采购清单</w:t>
      </w:r>
    </w:p>
    <w:p w14:paraId="46DFEB45">
      <w:pPr>
        <w:spacing w:line="138" w:lineRule="exact"/>
        <w:rPr>
          <w:rFonts w:hint="eastAsia" w:ascii="仿宋" w:hAnsi="仿宋" w:eastAsia="仿宋" w:cs="仿宋"/>
          <w:sz w:val="20"/>
          <w:szCs w:val="20"/>
          <w:highlight w:val="none"/>
        </w:rPr>
      </w:pPr>
    </w:p>
    <w:tbl>
      <w:tblPr>
        <w:tblStyle w:val="4"/>
        <w:tblW w:w="834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92"/>
        <w:gridCol w:w="2243"/>
        <w:gridCol w:w="3511"/>
        <w:gridCol w:w="837"/>
        <w:gridCol w:w="1260"/>
      </w:tblGrid>
      <w:tr w14:paraId="19BF5F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492" w:type="dxa"/>
            <w:noWrap w:val="0"/>
            <w:vAlign w:val="center"/>
          </w:tcPr>
          <w:p w14:paraId="317B2958">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7"/>
                <w:sz w:val="20"/>
                <w:szCs w:val="20"/>
                <w:highlight w:val="none"/>
                <w14:textFill>
                  <w14:solidFill>
                    <w14:schemeClr w14:val="tx1"/>
                  </w14:solidFill>
                </w14:textFill>
              </w:rPr>
              <w:t>序号</w:t>
            </w:r>
          </w:p>
        </w:tc>
        <w:tc>
          <w:tcPr>
            <w:tcW w:w="2243" w:type="dxa"/>
            <w:noWrap w:val="0"/>
            <w:vAlign w:val="center"/>
          </w:tcPr>
          <w:p w14:paraId="2A446FF1">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2"/>
                <w:sz w:val="20"/>
                <w:szCs w:val="20"/>
                <w:highlight w:val="none"/>
                <w14:textFill>
                  <w14:solidFill>
                    <w14:schemeClr w14:val="tx1"/>
                  </w14:solidFill>
                </w14:textFill>
              </w:rPr>
              <w:t>建设内容</w:t>
            </w:r>
          </w:p>
        </w:tc>
        <w:tc>
          <w:tcPr>
            <w:tcW w:w="3511" w:type="dxa"/>
            <w:noWrap w:val="0"/>
            <w:vAlign w:val="center"/>
          </w:tcPr>
          <w:p w14:paraId="6A3573CD">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2"/>
                <w:sz w:val="20"/>
                <w:szCs w:val="20"/>
                <w:highlight w:val="none"/>
                <w14:textFill>
                  <w14:solidFill>
                    <w14:schemeClr w14:val="tx1"/>
                  </w14:solidFill>
                </w14:textFill>
              </w:rPr>
              <w:t>子项目/产品名称</w:t>
            </w:r>
          </w:p>
        </w:tc>
        <w:tc>
          <w:tcPr>
            <w:tcW w:w="837" w:type="dxa"/>
            <w:noWrap w:val="0"/>
            <w:vAlign w:val="center"/>
          </w:tcPr>
          <w:p w14:paraId="40F2CB8E">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3"/>
                <w:sz w:val="20"/>
                <w:szCs w:val="20"/>
                <w:highlight w:val="none"/>
                <w14:textFill>
                  <w14:solidFill>
                    <w14:schemeClr w14:val="tx1"/>
                  </w14:solidFill>
                </w14:textFill>
              </w:rPr>
              <w:t>单位</w:t>
            </w:r>
          </w:p>
        </w:tc>
        <w:tc>
          <w:tcPr>
            <w:tcW w:w="1260" w:type="dxa"/>
            <w:noWrap w:val="0"/>
            <w:vAlign w:val="center"/>
          </w:tcPr>
          <w:p w14:paraId="60D654A9">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3"/>
                <w:sz w:val="20"/>
                <w:szCs w:val="20"/>
                <w:highlight w:val="none"/>
                <w14:textFill>
                  <w14:solidFill>
                    <w14:schemeClr w14:val="tx1"/>
                  </w14:solidFill>
                </w14:textFill>
              </w:rPr>
              <w:t>数量</w:t>
            </w:r>
          </w:p>
        </w:tc>
      </w:tr>
      <w:tr w14:paraId="12B32B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92" w:type="dxa"/>
            <w:noWrap w:val="0"/>
            <w:vAlign w:val="center"/>
          </w:tcPr>
          <w:p w14:paraId="279E49F8">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w:t>
            </w:r>
          </w:p>
        </w:tc>
        <w:tc>
          <w:tcPr>
            <w:tcW w:w="2243" w:type="dxa"/>
            <w:noWrap w:val="0"/>
            <w:vAlign w:val="center"/>
          </w:tcPr>
          <w:p w14:paraId="3F499FED">
            <w:pPr>
              <w:jc w:val="both"/>
              <w:rPr>
                <w:rFonts w:hint="eastAsia" w:ascii="仿宋" w:hAnsi="仿宋" w:eastAsia="仿宋" w:cs="仿宋"/>
                <w:color w:val="000000" w:themeColor="text1"/>
                <w:spacing w:val="2"/>
                <w:sz w:val="20"/>
                <w:szCs w:val="20"/>
                <w:highlight w:val="none"/>
                <w14:textFill>
                  <w14:solidFill>
                    <w14:schemeClr w14:val="tx1"/>
                  </w14:solidFill>
                </w14:textFill>
              </w:rPr>
            </w:pPr>
            <w:r>
              <w:rPr>
                <w:rFonts w:hint="eastAsia" w:ascii="仿宋" w:hAnsi="仿宋" w:eastAsia="仿宋" w:cs="仿宋"/>
                <w:color w:val="000000" w:themeColor="text1"/>
                <w:spacing w:val="2"/>
                <w:sz w:val="20"/>
                <w:szCs w:val="20"/>
                <w:highlight w:val="none"/>
                <w14:textFill>
                  <w14:solidFill>
                    <w14:schemeClr w14:val="tx1"/>
                  </w14:solidFill>
                </w14:textFill>
              </w:rPr>
              <w:t>数据指标规范</w:t>
            </w:r>
          </w:p>
        </w:tc>
        <w:tc>
          <w:tcPr>
            <w:tcW w:w="3511" w:type="dxa"/>
            <w:noWrap w:val="0"/>
            <w:vAlign w:val="center"/>
          </w:tcPr>
          <w:p w14:paraId="3ECC8399">
            <w:pPr>
              <w:jc w:val="center"/>
              <w:rPr>
                <w:rFonts w:hint="eastAsia" w:ascii="仿宋" w:hAnsi="仿宋" w:eastAsia="仿宋" w:cs="仿宋"/>
                <w:color w:val="000000" w:themeColor="text1"/>
                <w:spacing w:val="2"/>
                <w:sz w:val="20"/>
                <w:szCs w:val="20"/>
                <w:highlight w:val="none"/>
                <w14:textFill>
                  <w14:solidFill>
                    <w14:schemeClr w14:val="tx1"/>
                  </w14:solidFill>
                </w14:textFill>
              </w:rPr>
            </w:pPr>
            <w:r>
              <w:rPr>
                <w:rFonts w:hint="eastAsia" w:ascii="仿宋" w:hAnsi="仿宋" w:eastAsia="仿宋" w:cs="仿宋"/>
                <w:color w:val="000000" w:themeColor="text1"/>
                <w:spacing w:val="2"/>
                <w:sz w:val="20"/>
                <w:szCs w:val="20"/>
                <w:highlight w:val="none"/>
                <w14:textFill>
                  <w14:solidFill>
                    <w14:schemeClr w14:val="tx1"/>
                  </w14:solidFill>
                </w14:textFill>
              </w:rPr>
              <w:t>数据指标规范</w:t>
            </w:r>
          </w:p>
        </w:tc>
        <w:tc>
          <w:tcPr>
            <w:tcW w:w="837" w:type="dxa"/>
            <w:noWrap w:val="0"/>
            <w:vAlign w:val="center"/>
          </w:tcPr>
          <w:p w14:paraId="35AA7584">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套</w:t>
            </w:r>
          </w:p>
        </w:tc>
        <w:tc>
          <w:tcPr>
            <w:tcW w:w="1260" w:type="dxa"/>
            <w:noWrap w:val="0"/>
            <w:vAlign w:val="center"/>
          </w:tcPr>
          <w:p w14:paraId="154BAB9F">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w:t>
            </w:r>
          </w:p>
        </w:tc>
      </w:tr>
      <w:tr w14:paraId="539CB2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92" w:type="dxa"/>
            <w:noWrap w:val="0"/>
            <w:vAlign w:val="center"/>
          </w:tcPr>
          <w:p w14:paraId="73300182">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2</w:t>
            </w:r>
          </w:p>
        </w:tc>
        <w:tc>
          <w:tcPr>
            <w:tcW w:w="2243" w:type="dxa"/>
            <w:noWrap w:val="0"/>
            <w:vAlign w:val="center"/>
          </w:tcPr>
          <w:p w14:paraId="3C85BE01">
            <w:pPr>
              <w:jc w:val="both"/>
              <w:rPr>
                <w:rFonts w:hint="eastAsia" w:ascii="仿宋" w:hAnsi="仿宋" w:eastAsia="仿宋" w:cs="仿宋"/>
                <w:color w:val="000000" w:themeColor="text1"/>
                <w:spacing w:val="2"/>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2"/>
                <w:sz w:val="20"/>
                <w:szCs w:val="20"/>
                <w:highlight w:val="none"/>
                <w:lang w:val="en-US" w:eastAsia="zh-CN"/>
                <w14:textFill>
                  <w14:solidFill>
                    <w14:schemeClr w14:val="tx1"/>
                  </w14:solidFill>
                </w14:textFill>
              </w:rPr>
              <w:t>数据采集交换平台</w:t>
            </w:r>
          </w:p>
        </w:tc>
        <w:tc>
          <w:tcPr>
            <w:tcW w:w="3511" w:type="dxa"/>
            <w:noWrap w:val="0"/>
            <w:vAlign w:val="center"/>
          </w:tcPr>
          <w:p w14:paraId="15A7A206">
            <w:pPr>
              <w:jc w:val="center"/>
              <w:rPr>
                <w:rFonts w:hint="eastAsia" w:ascii="仿宋" w:hAnsi="仿宋" w:eastAsia="仿宋" w:cs="仿宋"/>
                <w:color w:val="000000" w:themeColor="text1"/>
                <w:spacing w:val="2"/>
                <w:sz w:val="20"/>
                <w:szCs w:val="20"/>
                <w:highlight w:val="none"/>
                <w14:textFill>
                  <w14:solidFill>
                    <w14:schemeClr w14:val="tx1"/>
                  </w14:solidFill>
                </w14:textFill>
              </w:rPr>
            </w:pPr>
            <w:r>
              <w:rPr>
                <w:rFonts w:hint="eastAsia" w:ascii="仿宋" w:hAnsi="仿宋" w:eastAsia="仿宋" w:cs="仿宋"/>
                <w:color w:val="000000" w:themeColor="text1"/>
                <w:spacing w:val="2"/>
                <w:sz w:val="20"/>
                <w:szCs w:val="20"/>
                <w:highlight w:val="none"/>
                <w:lang w:val="en-US" w:eastAsia="zh-CN"/>
                <w14:textFill>
                  <w14:solidFill>
                    <w14:schemeClr w14:val="tx1"/>
                  </w14:solidFill>
                </w14:textFill>
              </w:rPr>
              <w:t>数据采集交换平台</w:t>
            </w:r>
          </w:p>
        </w:tc>
        <w:tc>
          <w:tcPr>
            <w:tcW w:w="837" w:type="dxa"/>
            <w:noWrap w:val="0"/>
            <w:vAlign w:val="center"/>
          </w:tcPr>
          <w:p w14:paraId="2E19555D">
            <w:pPr>
              <w:jc w:val="center"/>
              <w:rPr>
                <w:rFonts w:hint="eastAsia" w:ascii="仿宋" w:hAnsi="仿宋" w:eastAsia="仿宋" w:cs="仿宋"/>
                <w:b w:val="0"/>
                <w:bCs w:val="0"/>
                <w:color w:val="000000" w:themeColor="text1"/>
                <w:sz w:val="20"/>
                <w:szCs w:val="20"/>
                <w:highlight w:val="none"/>
                <w:lang w:val="en-US" w:eastAsia="zh-CN"/>
                <w14:textFill>
                  <w14:solidFill>
                    <w14:schemeClr w14:val="tx1"/>
                  </w14:solidFill>
                </w14:textFill>
              </w:rPr>
            </w:pPr>
            <w:r>
              <w:rPr>
                <w:rFonts w:hint="eastAsia" w:ascii="仿宋" w:hAnsi="仿宋" w:eastAsia="仿宋" w:cs="仿宋"/>
                <w:b w:val="0"/>
                <w:bCs w:val="0"/>
                <w:color w:val="000000" w:themeColor="text1"/>
                <w:sz w:val="20"/>
                <w:szCs w:val="20"/>
                <w:highlight w:val="none"/>
                <w:lang w:val="en-US" w:eastAsia="zh-CN"/>
                <w14:textFill>
                  <w14:solidFill>
                    <w14:schemeClr w14:val="tx1"/>
                  </w14:solidFill>
                </w14:textFill>
              </w:rPr>
              <w:t>套</w:t>
            </w:r>
          </w:p>
        </w:tc>
        <w:tc>
          <w:tcPr>
            <w:tcW w:w="1260" w:type="dxa"/>
            <w:noWrap w:val="0"/>
            <w:vAlign w:val="center"/>
          </w:tcPr>
          <w:p w14:paraId="611F9B56">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1</w:t>
            </w:r>
          </w:p>
        </w:tc>
      </w:tr>
      <w:tr w14:paraId="0DEBBB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92" w:type="dxa"/>
            <w:noWrap w:val="0"/>
            <w:vAlign w:val="center"/>
          </w:tcPr>
          <w:p w14:paraId="05A33C20">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3</w:t>
            </w:r>
          </w:p>
        </w:tc>
        <w:tc>
          <w:tcPr>
            <w:tcW w:w="2243" w:type="dxa"/>
            <w:noWrap w:val="0"/>
            <w:vAlign w:val="center"/>
          </w:tcPr>
          <w:p w14:paraId="03971CB4">
            <w:pPr>
              <w:jc w:val="both"/>
              <w:rPr>
                <w:rFonts w:hint="eastAsia" w:ascii="仿宋" w:hAnsi="仿宋" w:eastAsia="仿宋" w:cs="仿宋"/>
                <w:color w:val="000000" w:themeColor="text1"/>
                <w:spacing w:val="2"/>
                <w:sz w:val="20"/>
                <w:szCs w:val="20"/>
                <w:highlight w:val="none"/>
                <w14:textFill>
                  <w14:solidFill>
                    <w14:schemeClr w14:val="tx1"/>
                  </w14:solidFill>
                </w14:textFill>
              </w:rPr>
            </w:pPr>
            <w:r>
              <w:rPr>
                <w:rFonts w:hint="eastAsia" w:ascii="仿宋" w:hAnsi="仿宋" w:eastAsia="仿宋" w:cs="仿宋"/>
                <w:color w:val="000000" w:themeColor="text1"/>
                <w:spacing w:val="2"/>
                <w:sz w:val="20"/>
                <w:szCs w:val="20"/>
                <w:highlight w:val="none"/>
                <w:lang w:val="en-US" w:eastAsia="zh-CN"/>
                <w14:textFill>
                  <w14:solidFill>
                    <w14:schemeClr w14:val="tx1"/>
                  </w14:solidFill>
                </w14:textFill>
              </w:rPr>
              <w:t>应用支撑平台</w:t>
            </w:r>
          </w:p>
        </w:tc>
        <w:tc>
          <w:tcPr>
            <w:tcW w:w="3511" w:type="dxa"/>
            <w:noWrap w:val="0"/>
            <w:vAlign w:val="center"/>
          </w:tcPr>
          <w:p w14:paraId="7A12CDF6">
            <w:pPr>
              <w:jc w:val="center"/>
              <w:rPr>
                <w:rFonts w:hint="eastAsia" w:ascii="仿宋" w:hAnsi="仿宋" w:eastAsia="仿宋" w:cs="仿宋"/>
                <w:color w:val="000000" w:themeColor="text1"/>
                <w:spacing w:val="2"/>
                <w:sz w:val="20"/>
                <w:szCs w:val="20"/>
                <w:highlight w:val="none"/>
                <w14:textFill>
                  <w14:solidFill>
                    <w14:schemeClr w14:val="tx1"/>
                  </w14:solidFill>
                </w14:textFill>
              </w:rPr>
            </w:pPr>
            <w:r>
              <w:rPr>
                <w:rFonts w:hint="eastAsia" w:ascii="仿宋" w:hAnsi="仿宋" w:eastAsia="仿宋" w:cs="仿宋"/>
                <w:color w:val="000000" w:themeColor="text1"/>
                <w:spacing w:val="2"/>
                <w:sz w:val="20"/>
                <w:szCs w:val="20"/>
                <w:highlight w:val="none"/>
                <w:lang w:val="en-US" w:eastAsia="zh-CN"/>
                <w14:textFill>
                  <w14:solidFill>
                    <w14:schemeClr w14:val="tx1"/>
                  </w14:solidFill>
                </w14:textFill>
              </w:rPr>
              <w:t>应用支撑平台</w:t>
            </w:r>
          </w:p>
        </w:tc>
        <w:tc>
          <w:tcPr>
            <w:tcW w:w="837" w:type="dxa"/>
            <w:noWrap w:val="0"/>
            <w:vAlign w:val="center"/>
          </w:tcPr>
          <w:p w14:paraId="0A7E9D18">
            <w:pPr>
              <w:jc w:val="center"/>
              <w:rPr>
                <w:rFonts w:hint="eastAsia" w:ascii="仿宋" w:hAnsi="仿宋" w:eastAsia="仿宋" w:cs="仿宋"/>
                <w:b w:val="0"/>
                <w:bCs w:val="0"/>
                <w:color w:val="000000" w:themeColor="text1"/>
                <w:kern w:val="2"/>
                <w:sz w:val="20"/>
                <w:szCs w:val="20"/>
                <w:highlight w:val="none"/>
                <w:lang w:val="en-US" w:eastAsia="zh-CN" w:bidi="ar-SA"/>
                <w14:textFill>
                  <w14:solidFill>
                    <w14:schemeClr w14:val="tx1"/>
                  </w14:solidFill>
                </w14:textFill>
              </w:rPr>
            </w:pPr>
            <w:r>
              <w:rPr>
                <w:rFonts w:hint="eastAsia" w:ascii="仿宋" w:hAnsi="仿宋" w:eastAsia="仿宋" w:cs="仿宋"/>
                <w:b w:val="0"/>
                <w:bCs w:val="0"/>
                <w:color w:val="000000" w:themeColor="text1"/>
                <w:sz w:val="20"/>
                <w:szCs w:val="20"/>
                <w:highlight w:val="none"/>
                <w:lang w:val="en-US" w:eastAsia="zh-CN"/>
                <w14:textFill>
                  <w14:solidFill>
                    <w14:schemeClr w14:val="tx1"/>
                  </w14:solidFill>
                </w14:textFill>
              </w:rPr>
              <w:t>套</w:t>
            </w:r>
          </w:p>
        </w:tc>
        <w:tc>
          <w:tcPr>
            <w:tcW w:w="1260" w:type="dxa"/>
            <w:noWrap w:val="0"/>
            <w:vAlign w:val="center"/>
          </w:tcPr>
          <w:p w14:paraId="7E1E7874">
            <w:pPr>
              <w:jc w:val="center"/>
              <w:rPr>
                <w:rFonts w:hint="eastAsia" w:ascii="仿宋" w:hAnsi="仿宋" w:eastAsia="仿宋" w:cs="仿宋"/>
                <w:color w:val="000000" w:themeColor="text1"/>
                <w:kern w:val="2"/>
                <w:sz w:val="20"/>
                <w:szCs w:val="20"/>
                <w:highlight w:val="none"/>
                <w:lang w:val="en-US" w:eastAsia="zh-CN" w:bidi="ar-SA"/>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1</w:t>
            </w:r>
          </w:p>
        </w:tc>
      </w:tr>
      <w:tr w14:paraId="531220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92" w:type="dxa"/>
            <w:noWrap w:val="0"/>
            <w:vAlign w:val="center"/>
          </w:tcPr>
          <w:p w14:paraId="79644C55">
            <w:pPr>
              <w:jc w:val="center"/>
              <w:rPr>
                <w:rFonts w:hint="eastAsia" w:ascii="仿宋" w:hAnsi="仿宋" w:eastAsia="仿宋" w:cs="仿宋"/>
                <w:color w:val="000000" w:themeColor="text1"/>
                <w:sz w:val="20"/>
                <w:szCs w:val="20"/>
                <w:highlight w:val="none"/>
                <w:lang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4</w:t>
            </w:r>
          </w:p>
        </w:tc>
        <w:tc>
          <w:tcPr>
            <w:tcW w:w="2243" w:type="dxa"/>
            <w:vMerge w:val="restart"/>
            <w:noWrap w:val="0"/>
            <w:vAlign w:val="center"/>
          </w:tcPr>
          <w:p w14:paraId="4072168E">
            <w:pPr>
              <w:jc w:val="both"/>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7"/>
                <w:sz w:val="20"/>
                <w:szCs w:val="20"/>
                <w:highlight w:val="none"/>
                <w14:textFill>
                  <w14:solidFill>
                    <w14:schemeClr w14:val="tx1"/>
                  </w14:solidFill>
                </w14:textFill>
              </w:rPr>
              <w:t>国资监管业务系统</w:t>
            </w:r>
          </w:p>
        </w:tc>
        <w:tc>
          <w:tcPr>
            <w:tcW w:w="3511" w:type="dxa"/>
            <w:noWrap w:val="0"/>
            <w:vAlign w:val="center"/>
          </w:tcPr>
          <w:p w14:paraId="6411C79A">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4"/>
                <w:sz w:val="20"/>
                <w:szCs w:val="20"/>
                <w:highlight w:val="none"/>
                <w14:textFill>
                  <w14:solidFill>
                    <w14:schemeClr w14:val="tx1"/>
                  </w14:solidFill>
                </w14:textFill>
              </w:rPr>
              <w:t>企业信息</w:t>
            </w:r>
          </w:p>
        </w:tc>
        <w:tc>
          <w:tcPr>
            <w:tcW w:w="837" w:type="dxa"/>
            <w:noWrap w:val="0"/>
            <w:vAlign w:val="center"/>
          </w:tcPr>
          <w:p w14:paraId="102F30A2">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套</w:t>
            </w:r>
          </w:p>
        </w:tc>
        <w:tc>
          <w:tcPr>
            <w:tcW w:w="1260" w:type="dxa"/>
            <w:noWrap w:val="0"/>
            <w:vAlign w:val="center"/>
          </w:tcPr>
          <w:p w14:paraId="5E00DE35">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w:t>
            </w:r>
          </w:p>
        </w:tc>
      </w:tr>
      <w:tr w14:paraId="55A0A0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92" w:type="dxa"/>
            <w:noWrap w:val="0"/>
            <w:vAlign w:val="center"/>
          </w:tcPr>
          <w:p w14:paraId="513277AB">
            <w:pPr>
              <w:jc w:val="center"/>
              <w:rPr>
                <w:rFonts w:hint="eastAsia" w:ascii="仿宋" w:hAnsi="仿宋" w:eastAsia="仿宋" w:cs="仿宋"/>
                <w:color w:val="000000" w:themeColor="text1"/>
                <w:sz w:val="20"/>
                <w:szCs w:val="20"/>
                <w:highlight w:val="none"/>
                <w:lang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5</w:t>
            </w:r>
          </w:p>
        </w:tc>
        <w:tc>
          <w:tcPr>
            <w:tcW w:w="2243" w:type="dxa"/>
            <w:vMerge w:val="continue"/>
            <w:noWrap w:val="0"/>
            <w:vAlign w:val="center"/>
          </w:tcPr>
          <w:p w14:paraId="16168226">
            <w:pPr>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3511" w:type="dxa"/>
            <w:noWrap w:val="0"/>
            <w:vAlign w:val="center"/>
          </w:tcPr>
          <w:p w14:paraId="69ED0B6A">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10"/>
                <w:sz w:val="20"/>
                <w:szCs w:val="20"/>
                <w:highlight w:val="none"/>
                <w14:textFill>
                  <w14:solidFill>
                    <w14:schemeClr w14:val="tx1"/>
                  </w14:solidFill>
                </w14:textFill>
              </w:rPr>
              <w:t>党建管理</w:t>
            </w:r>
          </w:p>
        </w:tc>
        <w:tc>
          <w:tcPr>
            <w:tcW w:w="837" w:type="dxa"/>
            <w:noWrap w:val="0"/>
            <w:vAlign w:val="center"/>
          </w:tcPr>
          <w:p w14:paraId="3C02A195">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套</w:t>
            </w:r>
          </w:p>
        </w:tc>
        <w:tc>
          <w:tcPr>
            <w:tcW w:w="1260" w:type="dxa"/>
            <w:noWrap w:val="0"/>
            <w:vAlign w:val="center"/>
          </w:tcPr>
          <w:p w14:paraId="26CA44D5">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w:t>
            </w:r>
          </w:p>
        </w:tc>
      </w:tr>
      <w:tr w14:paraId="687BB4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92" w:type="dxa"/>
            <w:noWrap w:val="0"/>
            <w:vAlign w:val="center"/>
          </w:tcPr>
          <w:p w14:paraId="1C683EAF">
            <w:pPr>
              <w:jc w:val="center"/>
              <w:rPr>
                <w:rFonts w:hint="eastAsia" w:ascii="仿宋" w:hAnsi="仿宋" w:eastAsia="仿宋" w:cs="仿宋"/>
                <w:color w:val="000000" w:themeColor="text1"/>
                <w:sz w:val="20"/>
                <w:szCs w:val="20"/>
                <w:highlight w:val="none"/>
                <w:lang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6</w:t>
            </w:r>
          </w:p>
        </w:tc>
        <w:tc>
          <w:tcPr>
            <w:tcW w:w="2243" w:type="dxa"/>
            <w:vMerge w:val="continue"/>
            <w:noWrap w:val="0"/>
            <w:vAlign w:val="center"/>
          </w:tcPr>
          <w:p w14:paraId="69506B89">
            <w:pPr>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3511" w:type="dxa"/>
            <w:noWrap w:val="0"/>
            <w:vAlign w:val="center"/>
          </w:tcPr>
          <w:p w14:paraId="5D3E6347">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三重一大</w:t>
            </w:r>
          </w:p>
        </w:tc>
        <w:tc>
          <w:tcPr>
            <w:tcW w:w="837" w:type="dxa"/>
            <w:noWrap w:val="0"/>
            <w:vAlign w:val="center"/>
          </w:tcPr>
          <w:p w14:paraId="073DB8D7">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套</w:t>
            </w:r>
          </w:p>
        </w:tc>
        <w:tc>
          <w:tcPr>
            <w:tcW w:w="1260" w:type="dxa"/>
            <w:noWrap w:val="0"/>
            <w:vAlign w:val="center"/>
          </w:tcPr>
          <w:p w14:paraId="00A6FC9C">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w:t>
            </w:r>
          </w:p>
        </w:tc>
      </w:tr>
      <w:tr w14:paraId="1A15B6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92" w:type="dxa"/>
            <w:noWrap w:val="0"/>
            <w:vAlign w:val="center"/>
          </w:tcPr>
          <w:p w14:paraId="06059AC1">
            <w:pPr>
              <w:jc w:val="center"/>
              <w:rPr>
                <w:rFonts w:hint="eastAsia" w:ascii="仿宋" w:hAnsi="仿宋" w:eastAsia="仿宋" w:cs="仿宋"/>
                <w:color w:val="000000" w:themeColor="text1"/>
                <w:sz w:val="20"/>
                <w:szCs w:val="20"/>
                <w:highlight w:val="none"/>
                <w:lang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7</w:t>
            </w:r>
          </w:p>
        </w:tc>
        <w:tc>
          <w:tcPr>
            <w:tcW w:w="2243" w:type="dxa"/>
            <w:vMerge w:val="continue"/>
            <w:noWrap w:val="0"/>
            <w:vAlign w:val="center"/>
          </w:tcPr>
          <w:p w14:paraId="11957900">
            <w:pPr>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3511" w:type="dxa"/>
            <w:noWrap w:val="0"/>
            <w:vAlign w:val="center"/>
          </w:tcPr>
          <w:p w14:paraId="6D0E29F1">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3"/>
                <w:sz w:val="20"/>
                <w:szCs w:val="20"/>
                <w:highlight w:val="none"/>
                <w14:textFill>
                  <w14:solidFill>
                    <w14:schemeClr w14:val="tx1"/>
                  </w14:solidFill>
                </w14:textFill>
              </w:rPr>
              <w:t>人事管理</w:t>
            </w:r>
          </w:p>
        </w:tc>
        <w:tc>
          <w:tcPr>
            <w:tcW w:w="837" w:type="dxa"/>
            <w:noWrap w:val="0"/>
            <w:vAlign w:val="center"/>
          </w:tcPr>
          <w:p w14:paraId="1E288326">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套</w:t>
            </w:r>
          </w:p>
        </w:tc>
        <w:tc>
          <w:tcPr>
            <w:tcW w:w="1260" w:type="dxa"/>
            <w:noWrap w:val="0"/>
            <w:vAlign w:val="center"/>
          </w:tcPr>
          <w:p w14:paraId="5FAC14C4">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w:t>
            </w:r>
          </w:p>
        </w:tc>
      </w:tr>
      <w:tr w14:paraId="4BA4C8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92" w:type="dxa"/>
            <w:noWrap w:val="0"/>
            <w:vAlign w:val="center"/>
          </w:tcPr>
          <w:p w14:paraId="2DCD816C">
            <w:pPr>
              <w:jc w:val="center"/>
              <w:rPr>
                <w:rFonts w:hint="eastAsia" w:ascii="仿宋" w:hAnsi="仿宋" w:eastAsia="仿宋" w:cs="仿宋"/>
                <w:color w:val="000000" w:themeColor="text1"/>
                <w:sz w:val="20"/>
                <w:szCs w:val="20"/>
                <w:highlight w:val="none"/>
                <w:lang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8</w:t>
            </w:r>
          </w:p>
        </w:tc>
        <w:tc>
          <w:tcPr>
            <w:tcW w:w="2243" w:type="dxa"/>
            <w:vMerge w:val="continue"/>
            <w:noWrap w:val="0"/>
            <w:vAlign w:val="center"/>
          </w:tcPr>
          <w:p w14:paraId="4DE342D7">
            <w:pPr>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3511" w:type="dxa"/>
            <w:noWrap w:val="0"/>
            <w:vAlign w:val="center"/>
          </w:tcPr>
          <w:p w14:paraId="134168E6">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财务监管</w:t>
            </w:r>
          </w:p>
        </w:tc>
        <w:tc>
          <w:tcPr>
            <w:tcW w:w="837" w:type="dxa"/>
            <w:noWrap w:val="0"/>
            <w:vAlign w:val="center"/>
          </w:tcPr>
          <w:p w14:paraId="455319E7">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套</w:t>
            </w:r>
          </w:p>
        </w:tc>
        <w:tc>
          <w:tcPr>
            <w:tcW w:w="1260" w:type="dxa"/>
            <w:noWrap w:val="0"/>
            <w:vAlign w:val="center"/>
          </w:tcPr>
          <w:p w14:paraId="36379D70">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w:t>
            </w:r>
          </w:p>
        </w:tc>
      </w:tr>
      <w:tr w14:paraId="37069C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92" w:type="dxa"/>
            <w:noWrap w:val="0"/>
            <w:vAlign w:val="center"/>
          </w:tcPr>
          <w:p w14:paraId="4A7019CA">
            <w:pPr>
              <w:jc w:val="center"/>
              <w:rPr>
                <w:rFonts w:hint="eastAsia" w:ascii="仿宋" w:hAnsi="仿宋" w:eastAsia="仿宋" w:cs="仿宋"/>
                <w:color w:val="000000" w:themeColor="text1"/>
                <w:sz w:val="20"/>
                <w:szCs w:val="20"/>
                <w:highlight w:val="none"/>
                <w:lang w:eastAsia="zh-CN"/>
                <w14:textFill>
                  <w14:solidFill>
                    <w14:schemeClr w14:val="tx1"/>
                  </w14:solidFill>
                </w14:textFill>
              </w:rPr>
            </w:pPr>
            <w: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t>9</w:t>
            </w:r>
          </w:p>
        </w:tc>
        <w:tc>
          <w:tcPr>
            <w:tcW w:w="2243" w:type="dxa"/>
            <w:vMerge w:val="continue"/>
            <w:noWrap w:val="0"/>
            <w:vAlign w:val="center"/>
          </w:tcPr>
          <w:p w14:paraId="2ED64F1E">
            <w:pPr>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3511" w:type="dxa"/>
            <w:noWrap w:val="0"/>
            <w:vAlign w:val="center"/>
          </w:tcPr>
          <w:p w14:paraId="55ABA8D5">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资产管理</w:t>
            </w:r>
          </w:p>
        </w:tc>
        <w:tc>
          <w:tcPr>
            <w:tcW w:w="837" w:type="dxa"/>
            <w:noWrap w:val="0"/>
            <w:vAlign w:val="center"/>
          </w:tcPr>
          <w:p w14:paraId="47E8A0CD">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套</w:t>
            </w:r>
          </w:p>
        </w:tc>
        <w:tc>
          <w:tcPr>
            <w:tcW w:w="1260" w:type="dxa"/>
            <w:noWrap w:val="0"/>
            <w:vAlign w:val="center"/>
          </w:tcPr>
          <w:p w14:paraId="11E4754F">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w:t>
            </w:r>
          </w:p>
        </w:tc>
      </w:tr>
      <w:tr w14:paraId="6DE7C6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92" w:type="dxa"/>
            <w:noWrap w:val="0"/>
            <w:vAlign w:val="center"/>
          </w:tcPr>
          <w:p w14:paraId="191B6E8B">
            <w:pPr>
              <w:jc w:val="cente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t>10</w:t>
            </w:r>
          </w:p>
        </w:tc>
        <w:tc>
          <w:tcPr>
            <w:tcW w:w="2243" w:type="dxa"/>
            <w:vMerge w:val="continue"/>
            <w:noWrap w:val="0"/>
            <w:vAlign w:val="center"/>
          </w:tcPr>
          <w:p w14:paraId="0110367E">
            <w:pPr>
              <w:jc w:val="center"/>
              <w:rPr>
                <w:rFonts w:hint="eastAsia" w:ascii="仿宋" w:hAnsi="仿宋" w:eastAsia="仿宋" w:cs="仿宋"/>
                <w:color w:val="000000" w:themeColor="text1"/>
                <w:spacing w:val="-7"/>
                <w:sz w:val="20"/>
                <w:szCs w:val="20"/>
                <w:highlight w:val="none"/>
                <w14:textFill>
                  <w14:solidFill>
                    <w14:schemeClr w14:val="tx1"/>
                  </w14:solidFill>
                </w14:textFill>
              </w:rPr>
            </w:pPr>
          </w:p>
        </w:tc>
        <w:tc>
          <w:tcPr>
            <w:tcW w:w="3511" w:type="dxa"/>
            <w:noWrap w:val="0"/>
            <w:vAlign w:val="center"/>
          </w:tcPr>
          <w:p w14:paraId="14B742FC">
            <w:pPr>
              <w:jc w:val="center"/>
              <w:rPr>
                <w:rFonts w:hint="eastAsia" w:ascii="仿宋" w:hAnsi="仿宋" w:eastAsia="仿宋" w:cs="仿宋"/>
                <w:color w:val="000000" w:themeColor="text1"/>
                <w:spacing w:val="-2"/>
                <w:sz w:val="20"/>
                <w:szCs w:val="20"/>
                <w:highlight w:val="none"/>
                <w14:textFill>
                  <w14:solidFill>
                    <w14:schemeClr w14:val="tx1"/>
                  </w14:solidFill>
                </w14:textFill>
              </w:rPr>
            </w:pPr>
            <w:r>
              <w:rPr>
                <w:rFonts w:hint="eastAsia" w:ascii="仿宋" w:hAnsi="仿宋" w:eastAsia="仿宋" w:cs="仿宋"/>
                <w:color w:val="000000" w:themeColor="text1"/>
                <w:spacing w:val="-2"/>
                <w:sz w:val="20"/>
                <w:szCs w:val="20"/>
                <w:highlight w:val="none"/>
                <w14:textFill>
                  <w14:solidFill>
                    <w14:schemeClr w14:val="tx1"/>
                  </w14:solidFill>
                </w14:textFill>
              </w:rPr>
              <w:t>债务管理</w:t>
            </w:r>
          </w:p>
        </w:tc>
        <w:tc>
          <w:tcPr>
            <w:tcW w:w="837" w:type="dxa"/>
            <w:noWrap w:val="0"/>
            <w:vAlign w:val="center"/>
          </w:tcPr>
          <w:p w14:paraId="76601DEC">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套</w:t>
            </w:r>
          </w:p>
        </w:tc>
        <w:tc>
          <w:tcPr>
            <w:tcW w:w="1260" w:type="dxa"/>
            <w:noWrap w:val="0"/>
            <w:vAlign w:val="center"/>
          </w:tcPr>
          <w:p w14:paraId="4ACEAF2C">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w:t>
            </w:r>
          </w:p>
        </w:tc>
      </w:tr>
      <w:tr w14:paraId="1BF013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92" w:type="dxa"/>
            <w:noWrap w:val="0"/>
            <w:vAlign w:val="center"/>
          </w:tcPr>
          <w:p w14:paraId="49944BA7">
            <w:pPr>
              <w:jc w:val="cente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t>11</w:t>
            </w:r>
          </w:p>
        </w:tc>
        <w:tc>
          <w:tcPr>
            <w:tcW w:w="2243" w:type="dxa"/>
            <w:noWrap w:val="0"/>
            <w:vAlign w:val="center"/>
          </w:tcPr>
          <w:p w14:paraId="08D6328E">
            <w:pPr>
              <w:jc w:val="both"/>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t>应用服务器</w:t>
            </w:r>
          </w:p>
        </w:tc>
        <w:tc>
          <w:tcPr>
            <w:tcW w:w="3511" w:type="dxa"/>
            <w:noWrap w:val="0"/>
            <w:vAlign w:val="center"/>
          </w:tcPr>
          <w:p w14:paraId="061D22A8">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1、信创（国产）产品，以国家信息安全测评中心的通知公告为准（网址为https://www.itsec.gov.cn/aqkkcp）；</w:t>
            </w:r>
          </w:p>
          <w:p w14:paraId="30438BEE">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2、规格：2路2U机架式服务器；</w:t>
            </w:r>
          </w:p>
          <w:p w14:paraId="13C2EA3C">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宋体" w:hAnsi="宋体" w:cs="宋体"/>
                <w:color w:val="000000"/>
                <w:sz w:val="20"/>
                <w:szCs w:val="20"/>
                <w:highlight w:val="none"/>
                <w:lang w:bidi="ar"/>
              </w:rPr>
              <w:t>▲</w:t>
            </w: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3、处理器：配置2颗国产处理器，单颗处理器核数≥32核、主频≥2.3GHz，采用精简指令集，内置100G网络能力；</w:t>
            </w:r>
          </w:p>
          <w:p w14:paraId="7431E80B">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宋体" w:hAnsi="宋体" w:cs="宋体"/>
                <w:color w:val="000000"/>
                <w:sz w:val="20"/>
                <w:szCs w:val="20"/>
                <w:highlight w:val="none"/>
                <w:lang w:bidi="ar"/>
              </w:rPr>
              <w:t>▲</w:t>
            </w: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4、内存：≥64G DDR4内存，内存槽位支持≥16根；</w:t>
            </w:r>
          </w:p>
          <w:p w14:paraId="585C8FE9">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宋体" w:hAnsi="宋体" w:cs="宋体"/>
                <w:color w:val="000000"/>
                <w:sz w:val="20"/>
                <w:szCs w:val="20"/>
                <w:highlight w:val="none"/>
                <w:lang w:bidi="ar"/>
              </w:rPr>
              <w:t>▲</w:t>
            </w: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5、硬盘容量：≥2块480GB SATA SSD，≥2块8T SATA HDD，设备支持扩展≥12个3.5寸硬盘；</w:t>
            </w:r>
          </w:p>
          <w:p w14:paraId="1231BBE4">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6、配置RAID卡，2GB缓存，支持0,1,5,6,10,50,60，配置超级电容；</w:t>
            </w:r>
          </w:p>
          <w:p w14:paraId="1006B9F6">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7、I/O扩展：PCI-E I/O插槽总数：≥8个；</w:t>
            </w:r>
          </w:p>
          <w:p w14:paraId="370D53D5">
            <w:pPr>
              <w:keepNext w:val="0"/>
              <w:keepLines w:val="0"/>
              <w:widowControl/>
              <w:suppressLineNumbers w:val="0"/>
              <w:jc w:val="left"/>
              <w:textAlignment w:val="center"/>
              <w:rPr>
                <w:rFonts w:hint="default"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8、网口：≥4个千兆电口；</w:t>
            </w:r>
          </w:p>
          <w:p w14:paraId="2A414725">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9、接口：标配≥4个USB 3.0接口，≥1个千兆网络管理端口，≥1个串口；≥1个VGA接口；</w:t>
            </w:r>
          </w:p>
          <w:p w14:paraId="78D68C5D">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10、电源：配置1+1冗余电源，单个电源支持负载功率900W；</w:t>
            </w:r>
          </w:p>
          <w:p w14:paraId="15866663">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11、服务：三年原厂质保;</w:t>
            </w:r>
          </w:p>
        </w:tc>
        <w:tc>
          <w:tcPr>
            <w:tcW w:w="837" w:type="dxa"/>
            <w:noWrap w:val="0"/>
            <w:vAlign w:val="center"/>
          </w:tcPr>
          <w:p w14:paraId="7A7E0C59">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台</w:t>
            </w:r>
          </w:p>
        </w:tc>
        <w:tc>
          <w:tcPr>
            <w:tcW w:w="1260" w:type="dxa"/>
            <w:noWrap w:val="0"/>
            <w:vAlign w:val="center"/>
          </w:tcPr>
          <w:p w14:paraId="1A7686EC">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1</w:t>
            </w:r>
          </w:p>
        </w:tc>
      </w:tr>
      <w:tr w14:paraId="6E7209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92" w:type="dxa"/>
            <w:noWrap w:val="0"/>
            <w:vAlign w:val="center"/>
          </w:tcPr>
          <w:p w14:paraId="71D2128B">
            <w:pPr>
              <w:jc w:val="cente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t>12</w:t>
            </w:r>
          </w:p>
        </w:tc>
        <w:tc>
          <w:tcPr>
            <w:tcW w:w="2243" w:type="dxa"/>
            <w:noWrap w:val="0"/>
            <w:vAlign w:val="center"/>
          </w:tcPr>
          <w:p w14:paraId="7D1C6421">
            <w:pPr>
              <w:jc w:val="both"/>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t>数据服务器</w:t>
            </w:r>
          </w:p>
        </w:tc>
        <w:tc>
          <w:tcPr>
            <w:tcW w:w="3511" w:type="dxa"/>
            <w:noWrap w:val="0"/>
            <w:vAlign w:val="center"/>
          </w:tcPr>
          <w:p w14:paraId="6A2158CA">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1、应为信创（国产）产品，以国家信息安全测评中心的通知公告为准（网址为https://www.itsec.gov.cn/aqkkcp）；</w:t>
            </w:r>
          </w:p>
          <w:p w14:paraId="43C3E6CE">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2、规格：2路2U机架式服务器；</w:t>
            </w:r>
          </w:p>
          <w:p w14:paraId="35277871">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宋体" w:hAnsi="宋体" w:cs="宋体"/>
                <w:color w:val="000000"/>
                <w:sz w:val="20"/>
                <w:szCs w:val="20"/>
                <w:highlight w:val="none"/>
                <w:lang w:bidi="ar"/>
              </w:rPr>
              <w:t>▲</w:t>
            </w: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3、处理器：配置2颗国产处理器，单颗处理器核数≥32核、主频≥2.3GHz，采用精简指令集，内置100G网络能力；</w:t>
            </w:r>
          </w:p>
          <w:p w14:paraId="06784F2A">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宋体" w:hAnsi="宋体" w:cs="宋体"/>
                <w:color w:val="000000"/>
                <w:sz w:val="20"/>
                <w:szCs w:val="20"/>
                <w:highlight w:val="none"/>
                <w:lang w:bidi="ar"/>
              </w:rPr>
              <w:t>▲</w:t>
            </w: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4、内存：</w:t>
            </w: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≥64G</w:t>
            </w: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 xml:space="preserve"> DDR4内存，内存槽位支持≥16根；</w:t>
            </w:r>
          </w:p>
          <w:p w14:paraId="11B23B46">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宋体" w:hAnsi="宋体" w:cs="宋体"/>
                <w:color w:val="000000"/>
                <w:sz w:val="20"/>
                <w:szCs w:val="20"/>
                <w:highlight w:val="none"/>
                <w:lang w:bidi="ar"/>
              </w:rPr>
              <w:t>▲</w:t>
            </w: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5、硬盘容量：≥2块480GB SATA SSD，≥3块8T SATA HDD，设备支持扩展≥12个3.5寸硬盘；</w:t>
            </w:r>
          </w:p>
          <w:p w14:paraId="7E794D4B">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6、配置RAID卡，2GB缓存，支持0,1,5,6,10,50,60，配置超级电容；</w:t>
            </w:r>
          </w:p>
          <w:p w14:paraId="4181E04C">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7、I/O扩展：PCI-E I/O插槽总数：≥8个；</w:t>
            </w:r>
          </w:p>
          <w:p w14:paraId="56E02CE4">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8、网口：≥4个千兆电口；</w:t>
            </w:r>
          </w:p>
          <w:p w14:paraId="581440BB">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9、接口：标配≥4个USB 3.0接口，≥1个千兆网络管理端口，≥1个串口；≥1个VGA接口；</w:t>
            </w:r>
          </w:p>
          <w:p w14:paraId="615BD14F">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10、电源：配置1+1冗余电源，单个电源支持负载功率900W；</w:t>
            </w:r>
          </w:p>
          <w:p w14:paraId="76846CB2">
            <w:pPr>
              <w:keepNext w:val="0"/>
              <w:keepLines w:val="0"/>
              <w:widowControl/>
              <w:suppressLineNumbers w:val="0"/>
              <w:jc w:val="left"/>
              <w:textAlignment w:val="center"/>
              <w:rPr>
                <w:rFonts w:hint="eastAsia" w:ascii="仿宋" w:hAnsi="仿宋" w:eastAsia="仿宋" w:cs="仿宋"/>
                <w:color w:val="000000" w:themeColor="text1"/>
                <w:spacing w:val="-2"/>
                <w:sz w:val="20"/>
                <w:szCs w:val="20"/>
                <w:highlight w:val="none"/>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11、服务：三年原厂质保;</w:t>
            </w:r>
          </w:p>
        </w:tc>
        <w:tc>
          <w:tcPr>
            <w:tcW w:w="837" w:type="dxa"/>
            <w:noWrap w:val="0"/>
            <w:vAlign w:val="center"/>
          </w:tcPr>
          <w:p w14:paraId="0FE9198A">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台</w:t>
            </w:r>
          </w:p>
        </w:tc>
        <w:tc>
          <w:tcPr>
            <w:tcW w:w="1260" w:type="dxa"/>
            <w:noWrap w:val="0"/>
            <w:vAlign w:val="center"/>
          </w:tcPr>
          <w:p w14:paraId="4521567C">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1</w:t>
            </w:r>
          </w:p>
        </w:tc>
      </w:tr>
      <w:tr w14:paraId="2C68E3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92" w:type="dxa"/>
            <w:noWrap w:val="0"/>
            <w:vAlign w:val="center"/>
          </w:tcPr>
          <w:p w14:paraId="0672E0A1">
            <w:pPr>
              <w:jc w:val="cente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p>
          <w:p w14:paraId="29D567F5">
            <w:pPr>
              <w:jc w:val="cente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p>
          <w:p w14:paraId="1A8AFC57">
            <w:pPr>
              <w:jc w:val="cente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p>
          <w:p w14:paraId="3979CB82">
            <w:pPr>
              <w:jc w:val="cente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p>
          <w:p w14:paraId="7A63D6EF">
            <w:pPr>
              <w:jc w:val="cente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p>
          <w:p w14:paraId="37C54452">
            <w:pPr>
              <w:jc w:val="cente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p>
          <w:p w14:paraId="7F061956">
            <w:pPr>
              <w:jc w:val="cente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p>
          <w:p w14:paraId="296415D0">
            <w:pPr>
              <w:jc w:val="cente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p>
          <w:p w14:paraId="31AAC37F">
            <w:pPr>
              <w:jc w:val="cente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t>13</w:t>
            </w:r>
          </w:p>
        </w:tc>
        <w:tc>
          <w:tcPr>
            <w:tcW w:w="2243" w:type="dxa"/>
            <w:noWrap w:val="0"/>
            <w:vAlign w:val="center"/>
          </w:tcPr>
          <w:p w14:paraId="7D228184">
            <w:pPr>
              <w:jc w:val="both"/>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p>
          <w:p w14:paraId="085F4112">
            <w:pPr>
              <w:jc w:val="both"/>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p>
          <w:p w14:paraId="5A6143FE">
            <w:pPr>
              <w:jc w:val="both"/>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p>
          <w:p w14:paraId="6001D03B">
            <w:pPr>
              <w:jc w:val="both"/>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p>
          <w:p w14:paraId="5DAF0A18">
            <w:pPr>
              <w:jc w:val="both"/>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p>
          <w:p w14:paraId="57D3EF0E">
            <w:pPr>
              <w:jc w:val="both"/>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p>
          <w:p w14:paraId="0E6B7D7B">
            <w:pPr>
              <w:jc w:val="both"/>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p>
          <w:p w14:paraId="0D7E6EC3">
            <w:pPr>
              <w:jc w:val="both"/>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p>
          <w:p w14:paraId="67C0F268">
            <w:pPr>
              <w:jc w:val="both"/>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t>防火墙</w:t>
            </w:r>
          </w:p>
        </w:tc>
        <w:tc>
          <w:tcPr>
            <w:tcW w:w="3511" w:type="dxa"/>
            <w:noWrap w:val="0"/>
            <w:vAlign w:val="center"/>
          </w:tcPr>
          <w:p w14:paraId="561E586E">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1、防火墙所采用芯片及操作系统应为信创（国产）产品，以国家信息安全测评中心的通知公告为准（网址为https://www.itsec.gov.cn/aqkkcp）。</w:t>
            </w:r>
          </w:p>
          <w:p w14:paraId="522446A5">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2、网络层吞吐量≥4Gbps，应用层吞吐量≥2Gbps，并发连接数≥200万，每秒新建连接数≥4.5万，含≥20个SSL VPN接入授权。</w:t>
            </w:r>
          </w:p>
          <w:p w14:paraId="59F7ECCE">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3、要求为国产化芯片和国产操作系统，规格1U,产品不少于6个10/100/1000M以太网电口，支持2个USB口和1个RJ45串口；内存≥8G，硬盘≥128G SSD。</w:t>
            </w:r>
          </w:p>
          <w:p w14:paraId="0736638B">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4、支持多种部署模式如路由、透明、旁路、虚拟网线模式。</w:t>
            </w:r>
          </w:p>
          <w:p w14:paraId="47C02F2C">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宋体" w:hAnsi="宋体" w:cs="宋体"/>
                <w:color w:val="000000"/>
                <w:sz w:val="20"/>
                <w:szCs w:val="20"/>
                <w:highlight w:val="none"/>
                <w:lang w:bidi="ar"/>
              </w:rPr>
              <w:t>▲</w:t>
            </w: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5、支持A|A、A|S两种双机模式部署。双机故障切换时不丢包，双机部署下升级不断网。</w:t>
            </w:r>
          </w:p>
          <w:p w14:paraId="7F04E22A">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6、支持多对一、一对多和一对一等NAT方式以及NAT44 、NAT64、NAT66地址转换方式。</w:t>
            </w:r>
          </w:p>
          <w:p w14:paraId="41B61ECC">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7、支持防扫描能力，防止攻击者通过扫描发现服务器漏洞从而发起精确攻击，支持对扫描源IP进行日志记录和联动封锁。</w:t>
            </w:r>
          </w:p>
          <w:p w14:paraId="68B237A9">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宋体" w:hAnsi="宋体" w:cs="宋体"/>
                <w:color w:val="000000"/>
                <w:sz w:val="20"/>
                <w:szCs w:val="20"/>
                <w:highlight w:val="none"/>
                <w:lang w:bidi="ar"/>
              </w:rPr>
              <w:t>▲</w:t>
            </w: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8</w:t>
            </w: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、支持勒索病毒检测与防御功能。</w:t>
            </w:r>
          </w:p>
          <w:p w14:paraId="5E5D84A2">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宋体" w:hAnsi="宋体" w:cs="宋体"/>
                <w:color w:val="000000"/>
                <w:sz w:val="20"/>
                <w:szCs w:val="20"/>
                <w:highlight w:val="none"/>
                <w:lang w:bidi="ar"/>
              </w:rPr>
              <w:t>▲</w:t>
            </w: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9、内置专门漏洞库以及IPS漏洞规则，可通过漏洞ID、名称、严重程度、CVE标识、漏洞描述等进行漏洞特征信息查询，可自定义攻击特征库。</w:t>
            </w:r>
          </w:p>
          <w:p w14:paraId="64036FE2">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宋体" w:hAnsi="宋体" w:cs="宋体"/>
                <w:color w:val="000000"/>
                <w:sz w:val="20"/>
                <w:szCs w:val="20"/>
                <w:highlight w:val="none"/>
                <w:lang w:bidi="ar"/>
              </w:rPr>
              <w:t>▲</w:t>
            </w: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10、</w:t>
            </w: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支持云威胁情报网关技术，通过全球超过30+pop节点，实现对威胁流量就近进行实时检测&amp;拦截，实现失陷外联实时阻断，保护资产安全。</w:t>
            </w:r>
          </w:p>
          <w:p w14:paraId="58F096E2">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11、支持账号风险检测，支持检测多余入口、弱口令、暴力破解、失陷账号。</w:t>
            </w:r>
          </w:p>
          <w:p w14:paraId="13AD0115">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12、支持管理安全策略，可以管理以及审计安全策略修改的时间、原因、变更类型。支持基于用户名/密码和Key等不同方式的管理员登陆双因素认证机制。</w:t>
            </w:r>
          </w:p>
          <w:p w14:paraId="338D1D6C">
            <w:pPr>
              <w:keepNext w:val="0"/>
              <w:keepLines w:val="0"/>
              <w:widowControl/>
              <w:suppressLineNumbers w:val="0"/>
              <w:jc w:val="left"/>
              <w:textAlignment w:val="center"/>
              <w:rPr>
                <w:rFonts w:hint="eastAsia" w:ascii="仿宋" w:hAnsi="仿宋" w:eastAsia="仿宋" w:cs="仿宋"/>
                <w:color w:val="000000" w:themeColor="text1"/>
                <w:spacing w:val="-2"/>
                <w:sz w:val="20"/>
                <w:szCs w:val="20"/>
                <w:highlight w:val="none"/>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13、含3年产品质保、软件升级和规则库升级服务</w:t>
            </w:r>
          </w:p>
        </w:tc>
        <w:tc>
          <w:tcPr>
            <w:tcW w:w="837" w:type="dxa"/>
            <w:noWrap w:val="0"/>
            <w:vAlign w:val="center"/>
          </w:tcPr>
          <w:p w14:paraId="29ED0C34">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p>
          <w:p w14:paraId="7BFBD226">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p>
          <w:p w14:paraId="0005BE06">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p>
          <w:p w14:paraId="6375B69C">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p>
          <w:p w14:paraId="55DC3295">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p>
          <w:p w14:paraId="02B5C9FB">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p>
          <w:p w14:paraId="63FCB8F3">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p>
          <w:p w14:paraId="0D350B62">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p>
          <w:p w14:paraId="6684C9E3">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台</w:t>
            </w:r>
          </w:p>
        </w:tc>
        <w:tc>
          <w:tcPr>
            <w:tcW w:w="1260" w:type="dxa"/>
            <w:noWrap w:val="0"/>
            <w:vAlign w:val="center"/>
          </w:tcPr>
          <w:p w14:paraId="7907CC3D">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p>
          <w:p w14:paraId="7E11C1F7">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p>
          <w:p w14:paraId="2D48AC77">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p>
          <w:p w14:paraId="6BDFDCE6">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p>
          <w:p w14:paraId="4AC6D9C3">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p>
          <w:p w14:paraId="63710066">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p>
          <w:p w14:paraId="4589E7DA">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p>
          <w:p w14:paraId="3FD9E9EC">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p>
          <w:p w14:paraId="2ED917B4">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1</w:t>
            </w:r>
          </w:p>
        </w:tc>
      </w:tr>
      <w:tr w14:paraId="4BF335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492" w:type="dxa"/>
            <w:noWrap w:val="0"/>
            <w:vAlign w:val="center"/>
          </w:tcPr>
          <w:p w14:paraId="6BB6FE61">
            <w:pPr>
              <w:jc w:val="cente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t>14</w:t>
            </w:r>
          </w:p>
        </w:tc>
        <w:tc>
          <w:tcPr>
            <w:tcW w:w="2243" w:type="dxa"/>
            <w:noWrap w:val="0"/>
            <w:vAlign w:val="center"/>
          </w:tcPr>
          <w:p w14:paraId="45E60E0A">
            <w:pPr>
              <w:jc w:val="both"/>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t>电脑</w:t>
            </w:r>
            <w: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t>（应为强制节能环保产品）</w:t>
            </w:r>
          </w:p>
        </w:tc>
        <w:tc>
          <w:tcPr>
            <w:tcW w:w="3511" w:type="dxa"/>
            <w:noWrap w:val="0"/>
            <w:vAlign w:val="center"/>
          </w:tcPr>
          <w:p w14:paraId="34F554D6">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应为信创（国产）产品，以国家信息安全测评中心的通知公告为准（网址为https://www.itsec.gov.cn/aqkkcp）。</w:t>
            </w:r>
          </w:p>
          <w:p w14:paraId="6C27BD9C">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CPU主频≥2.3GHz ，≥ 16G DDR4 内存，硬盘：≥512G，≥23.8英寸显示器，键盘鼠标</w:t>
            </w:r>
          </w:p>
        </w:tc>
        <w:tc>
          <w:tcPr>
            <w:tcW w:w="837" w:type="dxa"/>
            <w:noWrap w:val="0"/>
            <w:vAlign w:val="center"/>
          </w:tcPr>
          <w:p w14:paraId="5F37B7C9">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台</w:t>
            </w:r>
          </w:p>
        </w:tc>
        <w:tc>
          <w:tcPr>
            <w:tcW w:w="1260" w:type="dxa"/>
            <w:noWrap w:val="0"/>
            <w:vAlign w:val="center"/>
          </w:tcPr>
          <w:p w14:paraId="710C00E9">
            <w:pPr>
              <w:jc w:val="center"/>
              <w:rPr>
                <w:rFonts w:hint="default"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2</w:t>
            </w:r>
          </w:p>
        </w:tc>
      </w:tr>
      <w:tr w14:paraId="7B07D3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492" w:type="dxa"/>
            <w:noWrap w:val="0"/>
            <w:vAlign w:val="center"/>
          </w:tcPr>
          <w:p w14:paraId="0F92EB8F">
            <w:pPr>
              <w:jc w:val="cente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t>15</w:t>
            </w:r>
          </w:p>
        </w:tc>
        <w:tc>
          <w:tcPr>
            <w:tcW w:w="2243" w:type="dxa"/>
            <w:noWrap w:val="0"/>
            <w:vAlign w:val="center"/>
          </w:tcPr>
          <w:p w14:paraId="1272DECF">
            <w:pPr>
              <w:jc w:val="both"/>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t>机柜</w:t>
            </w:r>
          </w:p>
        </w:tc>
        <w:tc>
          <w:tcPr>
            <w:tcW w:w="3511" w:type="dxa"/>
            <w:noWrap w:val="0"/>
            <w:vAlign w:val="center"/>
          </w:tcPr>
          <w:p w14:paraId="401CD76D">
            <w:pPr>
              <w:keepNext w:val="0"/>
              <w:keepLines w:val="0"/>
              <w:widowControl/>
              <w:suppressLineNumbers w:val="0"/>
              <w:jc w:val="left"/>
              <w:textAlignment w:val="cente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尺寸：标准机柜，适配服务器等设备体积</w:t>
            </w: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颜色：黑色</w:t>
            </w: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容量：42U</w:t>
            </w:r>
          </w:p>
          <w:p w14:paraId="5E71135B">
            <w:pPr>
              <w:keepNext w:val="0"/>
              <w:keepLines w:val="0"/>
              <w:widowControl/>
              <w:suppressLineNumbers w:val="0"/>
              <w:jc w:val="left"/>
              <w:textAlignment w:val="center"/>
              <w:rPr>
                <w:rFonts w:hint="default"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机柜网孔门：通风率≥80%</w:t>
            </w:r>
          </w:p>
          <w:p w14:paraId="611B9381">
            <w:pPr>
              <w:keepNext w:val="0"/>
              <w:keepLines w:val="0"/>
              <w:widowControl/>
              <w:suppressLineNumbers w:val="0"/>
              <w:jc w:val="left"/>
              <w:textAlignment w:val="center"/>
              <w:rPr>
                <w:rFonts w:hint="default"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机柜：固定机柜</w:t>
            </w:r>
          </w:p>
          <w:p w14:paraId="6AF72020">
            <w:pPr>
              <w:keepNext w:val="0"/>
              <w:keepLines w:val="0"/>
              <w:widowControl/>
              <w:suppressLineNumbers w:val="0"/>
              <w:jc w:val="left"/>
              <w:textAlignment w:val="center"/>
              <w:rPr>
                <w:rFonts w:hint="default"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含4条32A12孔位国标PDU</w:t>
            </w:r>
          </w:p>
        </w:tc>
        <w:tc>
          <w:tcPr>
            <w:tcW w:w="837" w:type="dxa"/>
            <w:noWrap w:val="0"/>
            <w:vAlign w:val="center"/>
          </w:tcPr>
          <w:p w14:paraId="638F5780">
            <w:pPr>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台</w:t>
            </w:r>
          </w:p>
        </w:tc>
        <w:tc>
          <w:tcPr>
            <w:tcW w:w="1260" w:type="dxa"/>
            <w:noWrap w:val="0"/>
            <w:vAlign w:val="center"/>
          </w:tcPr>
          <w:p w14:paraId="622E10DC">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1</w:t>
            </w:r>
          </w:p>
        </w:tc>
      </w:tr>
      <w:tr w14:paraId="244EB0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92" w:type="dxa"/>
            <w:noWrap w:val="0"/>
            <w:vAlign w:val="center"/>
          </w:tcPr>
          <w:p w14:paraId="39C45BCB">
            <w:pPr>
              <w:jc w:val="cente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t>16</w:t>
            </w:r>
          </w:p>
        </w:tc>
        <w:tc>
          <w:tcPr>
            <w:tcW w:w="2243" w:type="dxa"/>
            <w:noWrap w:val="0"/>
            <w:vAlign w:val="center"/>
          </w:tcPr>
          <w:p w14:paraId="024C815E">
            <w:pPr>
              <w:jc w:val="both"/>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7"/>
                <w:sz w:val="20"/>
                <w:szCs w:val="20"/>
                <w:highlight w:val="none"/>
                <w:lang w:val="en-US" w:eastAsia="zh-CN"/>
                <w14:textFill>
                  <w14:solidFill>
                    <w14:schemeClr w14:val="tx1"/>
                  </w14:solidFill>
                </w14:textFill>
              </w:rPr>
              <w:t>设备维护</w:t>
            </w:r>
          </w:p>
        </w:tc>
        <w:tc>
          <w:tcPr>
            <w:tcW w:w="3511" w:type="dxa"/>
            <w:noWrap w:val="0"/>
            <w:vAlign w:val="center"/>
          </w:tcPr>
          <w:p w14:paraId="10D93EC4">
            <w:pPr>
              <w:keepNext w:val="0"/>
              <w:keepLines w:val="0"/>
              <w:widowControl/>
              <w:suppressLineNumbers w:val="0"/>
              <w:jc w:val="left"/>
              <w:textAlignment w:val="center"/>
              <w:rPr>
                <w:rFonts w:hint="eastAsia" w:ascii="仿宋" w:hAnsi="仿宋" w:eastAsia="仿宋" w:cs="仿宋"/>
                <w:color w:val="000000" w:themeColor="text1"/>
                <w:spacing w:val="-2"/>
                <w:sz w:val="20"/>
                <w:szCs w:val="20"/>
                <w:highlight w:val="none"/>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设备安装调试，机柜设备打标，整理、送修、清洁等维护管理。</w:t>
            </w: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提供一年的设备维护服务。</w:t>
            </w:r>
          </w:p>
        </w:tc>
        <w:tc>
          <w:tcPr>
            <w:tcW w:w="837" w:type="dxa"/>
            <w:noWrap w:val="0"/>
            <w:vAlign w:val="center"/>
          </w:tcPr>
          <w:p w14:paraId="1641C13F">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年</w:t>
            </w:r>
          </w:p>
        </w:tc>
        <w:tc>
          <w:tcPr>
            <w:tcW w:w="1260" w:type="dxa"/>
            <w:noWrap w:val="0"/>
            <w:vAlign w:val="center"/>
          </w:tcPr>
          <w:p w14:paraId="2531FFFD">
            <w:pPr>
              <w:jc w:val="center"/>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1</w:t>
            </w:r>
          </w:p>
        </w:tc>
      </w:tr>
    </w:tbl>
    <w:p w14:paraId="28388068">
      <w:pPr>
        <w:rPr>
          <w:highlight w:val="none"/>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244A56"/>
    <w:multiLevelType w:val="singleLevel"/>
    <w:tmpl w:val="F7244A56"/>
    <w:lvl w:ilvl="0" w:tentative="0">
      <w:start w:val="1"/>
      <w:numFmt w:val="decimalEnclosedCircleChinese"/>
      <w:suff w:val="nothing"/>
      <w:lvlText w:val="%1　"/>
      <w:lvlJc w:val="left"/>
      <w:pPr>
        <w:ind w:left="0" w:firstLine="400"/>
      </w:pPr>
      <w:rPr>
        <w:rFonts w:hint="eastAsia"/>
      </w:rPr>
    </w:lvl>
  </w:abstractNum>
  <w:abstractNum w:abstractNumId="1">
    <w:nsid w:val="4382023E"/>
    <w:multiLevelType w:val="multilevel"/>
    <w:tmpl w:val="4382023E"/>
    <w:lvl w:ilvl="0" w:tentative="0">
      <w:start w:val="1"/>
      <w:numFmt w:val="decimal"/>
      <w:lvlText w:val="%1."/>
      <w:lvlJc w:val="left"/>
      <w:pPr>
        <w:ind w:left="425" w:hanging="425"/>
      </w:pPr>
      <w:rPr>
        <w:rFonts w:hint="eastAsia"/>
      </w:rPr>
    </w:lvl>
    <w:lvl w:ilvl="1" w:tentative="0">
      <w:start w:val="1"/>
      <w:numFmt w:val="decimal"/>
      <w:pStyle w:val="2"/>
      <w:lvlText w:val="%1.%2."/>
      <w:lvlJc w:val="left"/>
      <w:pPr>
        <w:ind w:left="2978" w:hanging="567"/>
      </w:pPr>
      <w:rPr>
        <w:rFonts w:hint="eastAsia"/>
      </w:rPr>
    </w:lvl>
    <w:lvl w:ilvl="2" w:tentative="0">
      <w:start w:val="1"/>
      <w:numFmt w:val="decimal"/>
      <w:lvlText w:val="%1.%2.%3."/>
      <w:lvlJc w:val="left"/>
      <w:pPr>
        <w:ind w:left="709" w:hanging="709"/>
      </w:pPr>
      <w:rPr>
        <w:rFonts w:hint="eastAsia"/>
      </w:rPr>
    </w:lvl>
    <w:lvl w:ilvl="3" w:tentative="0">
      <w:start w:val="1"/>
      <w:numFmt w:val="decimal"/>
      <w:lvlText w:val="%1.%2.%3.%4."/>
      <w:lvlJc w:val="left"/>
      <w:pPr>
        <w:ind w:left="1844"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D42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numPr>
        <w:ilvl w:val="1"/>
        <w:numId w:val="1"/>
      </w:numPr>
      <w:spacing w:line="360" w:lineRule="auto"/>
      <w:ind w:left="0" w:firstLine="0"/>
      <w:jc w:val="left"/>
      <w:outlineLvl w:val="1"/>
    </w:pPr>
    <w:rPr>
      <w:rFonts w:ascii="Times New Roman" w:hAnsi="Times New Roman" w:eastAsia="仿宋" w:cs="Times New Roman"/>
      <w:b/>
      <w:sz w:val="2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2025-10-11T08:48:33Z</dcterms:created>
  <dc:creator>Administrator</dc:creator>
  <cp:lastModifiedBy>WPS_1544074700</cp:lastModifiedBy>
  <dcterms:modified xsi:type="dcterms:W3CDTF">2025-10-11T08:49:08Z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77CEF426382F478196397D62A4A409F1_12</vt:lpwstr>
  </property>
</Properties>
</file>