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版本号：ZJXG202511120251017001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团结片区朔十线徐东支高低压及10KV徐二十五花苑支电力线路迁改工程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ZJXG2025111</w:t>
      </w:r>
      <w:r>
        <w:br/>
      </w:r>
      <w:r>
        <w:br/>
      </w:r>
      <w:r>
        <w:br/>
      </w:r>
    </w:p>
    <w:p>
      <w:pPr>
        <w:pStyle w:val="null3"/>
        <w:jc w:val="center"/>
        <w:outlineLvl w:val="2"/>
      </w:pPr>
      <w:r>
        <w:rPr>
          <w:rFonts w:ascii="仿宋_GB2312" w:hAnsi="仿宋_GB2312" w:cs="仿宋_GB2312" w:eastAsia="仿宋_GB2312"/>
          <w:sz w:val="28"/>
          <w:b/>
        </w:rPr>
        <w:t>西安市未央区徐家湾地区综合改造办公室</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西安市未央区徐家湾地区综合改造办公室</w:t>
      </w:r>
      <w:r>
        <w:rPr>
          <w:rFonts w:ascii="仿宋_GB2312" w:hAnsi="仿宋_GB2312" w:cs="仿宋_GB2312" w:eastAsia="仿宋_GB2312"/>
        </w:rPr>
        <w:t>委托，拟对</w:t>
      </w:r>
      <w:r>
        <w:rPr>
          <w:rFonts w:ascii="仿宋_GB2312" w:hAnsi="仿宋_GB2312" w:cs="仿宋_GB2312" w:eastAsia="仿宋_GB2312"/>
        </w:rPr>
        <w:t>团结片区朔十线徐东支高低压及10KV徐二十五花苑支电力线路迁改工程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ZJXG2025111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团结片区朔十线徐东支高低压及10KV徐二十五花苑支电力线路迁改工程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本工程为团结片区朔十线徐东支高低压及10KV徐二十五花苑支电力线路迁改工程，工作内容主要包括拆除电缆、变压器、水泥基，新建电缆、环网柜等，详见工程量清单及施工图。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采购包1（团结片区朔十线徐东支高低压及10KV徐二十五花苑支电力线路迁改工程）：属于专门面向中小企业采购。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供应商需在项目电子化交易系统中按要求上传相应证明文件并进行电子签章。</w:t>
      </w:r>
    </w:p>
    <w:p>
      <w:pPr>
        <w:pStyle w:val="null3"/>
      </w:pPr>
      <w:r>
        <w:rPr>
          <w:rFonts w:ascii="仿宋_GB2312" w:hAnsi="仿宋_GB2312" w:cs="仿宋_GB2312" w:eastAsia="仿宋_GB2312"/>
        </w:rPr>
        <w:t>8、企业资质：供应商具有建设行政主管部门核发的电力工程施工总承包三级（含三级）以上资质或输变电专业工程承包三级（含三级）以上资质；同时具备下列三项许可证：《承装电力设施许可证》、《承修电力设施许可证》、《承试电力设施许可证》，各证书须为四级（含四级）及以上资格，以及合法有效的安全生产许可证。供应商需在项目电子化交易系统中按要求上传相应证明文件并进行电子签章。</w:t>
      </w:r>
    </w:p>
    <w:p>
      <w:pPr>
        <w:pStyle w:val="null3"/>
      </w:pPr>
      <w:r>
        <w:rPr>
          <w:rFonts w:ascii="仿宋_GB2312" w:hAnsi="仿宋_GB2312" w:cs="仿宋_GB2312" w:eastAsia="仿宋_GB2312"/>
        </w:rPr>
        <w:t>9、项目经理：拟派项目经理具备合法有效的机电工程专业注册建造师二级（含二级）以上执业资格和安全生产考核合格证书（安全B证），在本单位注册且无在建工程。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11、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12、是否接受联合体投标：本合同包不接受联合体投标，提供非联合体投标声明。供应商需在项目电子化交易系统中按要求上传相应证明文件并进行电子签章。</w:t>
      </w:r>
    </w:p>
    <w:p>
      <w:pPr>
        <w:pStyle w:val="null3"/>
      </w:pPr>
      <w:r>
        <w:rPr>
          <w:rFonts w:ascii="仿宋_GB2312" w:hAnsi="仿宋_GB2312" w:cs="仿宋_GB2312" w:eastAsia="仿宋_GB2312"/>
        </w:rPr>
        <w:t>13、中小企业：本合同包为专门面向中小企业采购（提供中小企业声明函或监狱企业的证明文件或残疾人福利性单位声明函）。供应商需在项目电子化交易系统中按要求上传相应证明文件并进行电子签章。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西安市未央区徐家湾地区综合改造办公室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西安市未央区凤城八路与渭滨路十字向东150米路北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029-88698013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采购包1：1,111,552.05元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成交单位服务费交纳信息银行户名：陕西中鉴项目管理有限公司开户行：招商银行股份有限公司西安分行营业部账号：129911072510777联系电话：029-88229191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西安市未央区徐家湾地区综合改造办公室</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西安市未央区徐家湾地区综合改造办公室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西安市未央区徐家湾地区综合改造办公室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联系人：白工</w:t>
      </w:r>
    </w:p>
    <w:p>
      <w:pPr>
        <w:pStyle w:val="null3"/>
      </w:pPr>
      <w:r>
        <w:rPr>
          <w:rFonts w:ascii="仿宋_GB2312" w:hAnsi="仿宋_GB2312" w:cs="仿宋_GB2312" w:eastAsia="仿宋_GB2312"/>
        </w:rPr>
        <w:t>联系电话： 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1,111,552.05</w:t>
      </w:r>
    </w:p>
    <w:p>
      <w:pPr>
        <w:pStyle w:val="null3"/>
      </w:pPr>
      <w:r>
        <w:rPr>
          <w:rFonts w:ascii="仿宋_GB2312" w:hAnsi="仿宋_GB2312" w:cs="仿宋_GB2312" w:eastAsia="仿宋_GB2312"/>
        </w:rPr>
        <w:t>采购包最高限价（元）: 1,111,552.05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团结片区朔十线徐东支高低压及10KV徐二十五花苑支电力线路迁改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1,111,552.05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标的名称：团结片区朔十线徐东支高低压及10KV徐二十五花苑支电力线路迁改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本工程为</w:t>
            </w:r>
            <w:r>
              <w:rPr>
                <w:rFonts w:ascii="仿宋_GB2312" w:hAnsi="仿宋_GB2312" w:cs="仿宋_GB2312" w:eastAsia="仿宋_GB2312"/>
              </w:rPr>
              <w:t>团结片区朔十线徐东支高低压及</w:t>
            </w:r>
            <w:r>
              <w:rPr>
                <w:rFonts w:ascii="仿宋_GB2312" w:hAnsi="仿宋_GB2312" w:cs="仿宋_GB2312" w:eastAsia="仿宋_GB2312"/>
              </w:rPr>
              <w:t>10KV徐二十五花苑支电力线路迁改工程</w:t>
            </w:r>
            <w:r>
              <w:rPr>
                <w:rFonts w:ascii="仿宋_GB2312" w:hAnsi="仿宋_GB2312" w:cs="仿宋_GB2312" w:eastAsia="仿宋_GB2312"/>
              </w:rPr>
              <w:t>，</w:t>
            </w:r>
            <w:r>
              <w:rPr>
                <w:rFonts w:ascii="仿宋_GB2312" w:hAnsi="仿宋_GB2312" w:cs="仿宋_GB2312" w:eastAsia="仿宋_GB2312"/>
              </w:rPr>
              <w:t>工作内容主要包括拆除电缆、变压器、水泥基，新建电缆、环网柜等</w:t>
            </w:r>
            <w:r>
              <w:rPr>
                <w:rFonts w:ascii="仿宋_GB2312" w:hAnsi="仿宋_GB2312" w:cs="仿宋_GB2312" w:eastAsia="仿宋_GB2312"/>
              </w:rPr>
              <w:t>，详见工程量清单及施工图。</w:t>
            </w:r>
          </w:p>
          <w:p>
            <w:pPr>
              <w:pStyle w:val="null3"/>
            </w:pPr>
            <w:r>
              <w:rPr>
                <w:rFonts w:ascii="仿宋_GB2312" w:hAnsi="仿宋_GB2312" w:cs="仿宋_GB2312" w:eastAsia="仿宋_GB2312"/>
                <w:b/>
              </w:rPr>
              <w:t>二、工程内容和</w:t>
            </w:r>
            <w:r>
              <w:rPr>
                <w:rFonts w:ascii="仿宋_GB2312" w:hAnsi="仿宋_GB2312" w:cs="仿宋_GB2312" w:eastAsia="仿宋_GB2312"/>
                <w:b/>
              </w:rPr>
              <w:t>工程</w:t>
            </w:r>
            <w:r>
              <w:rPr>
                <w:rFonts w:ascii="仿宋_GB2312" w:hAnsi="仿宋_GB2312" w:cs="仿宋_GB2312" w:eastAsia="仿宋_GB2312"/>
                <w:b/>
              </w:rPr>
              <w:t>地点、计划工期</w:t>
            </w:r>
          </w:p>
          <w:p>
            <w:pPr>
              <w:pStyle w:val="null3"/>
            </w:pPr>
            <w:r>
              <w:rPr>
                <w:rFonts w:ascii="仿宋_GB2312" w:hAnsi="仿宋_GB2312" w:cs="仿宋_GB2312" w:eastAsia="仿宋_GB2312"/>
              </w:rPr>
              <w:t>1.</w:t>
            </w:r>
            <w:r>
              <w:rPr>
                <w:rFonts w:ascii="仿宋_GB2312" w:hAnsi="仿宋_GB2312" w:cs="仿宋_GB2312" w:eastAsia="仿宋_GB2312"/>
              </w:rPr>
              <w:t>工程内容</w:t>
            </w:r>
            <w:r>
              <w:rPr>
                <w:rFonts w:ascii="仿宋_GB2312" w:hAnsi="仿宋_GB2312" w:cs="仿宋_GB2312" w:eastAsia="仿宋_GB2312"/>
              </w:rPr>
              <w:t>：依据</w:t>
            </w:r>
            <w:r>
              <w:rPr>
                <w:rFonts w:ascii="仿宋_GB2312" w:hAnsi="仿宋_GB2312" w:cs="仿宋_GB2312" w:eastAsia="仿宋_GB2312"/>
              </w:rPr>
              <w:t>团结片区朔十线徐东支高低压及</w:t>
            </w:r>
            <w:r>
              <w:rPr>
                <w:rFonts w:ascii="仿宋_GB2312" w:hAnsi="仿宋_GB2312" w:cs="仿宋_GB2312" w:eastAsia="仿宋_GB2312"/>
              </w:rPr>
              <w:t>10KV徐二十五花苑支电力线路迁改工程</w:t>
            </w:r>
            <w:r>
              <w:rPr>
                <w:rFonts w:ascii="仿宋_GB2312" w:hAnsi="仿宋_GB2312" w:cs="仿宋_GB2312" w:eastAsia="仿宋_GB2312"/>
              </w:rPr>
              <w:t>设计图编制工程量清单，编制范围包括图纸中所有内容，详见图纸。</w:t>
            </w:r>
          </w:p>
          <w:p>
            <w:pPr>
              <w:pStyle w:val="null3"/>
            </w:pPr>
            <w:r>
              <w:rPr>
                <w:rFonts w:ascii="仿宋_GB2312" w:hAnsi="仿宋_GB2312" w:cs="仿宋_GB2312" w:eastAsia="仿宋_GB2312"/>
              </w:rPr>
              <w:t>2.工程地点：</w:t>
            </w:r>
            <w:r>
              <w:rPr>
                <w:rFonts w:ascii="仿宋_GB2312" w:hAnsi="仿宋_GB2312" w:cs="仿宋_GB2312" w:eastAsia="仿宋_GB2312"/>
              </w:rPr>
              <w:t>西安市未央区团结片区</w:t>
            </w:r>
          </w:p>
          <w:p>
            <w:pPr>
              <w:pStyle w:val="null3"/>
            </w:pPr>
            <w:r>
              <w:rPr>
                <w:rFonts w:ascii="仿宋_GB2312" w:hAnsi="仿宋_GB2312" w:cs="仿宋_GB2312" w:eastAsia="仿宋_GB2312"/>
              </w:rPr>
              <w:t>3.工期：自合同签订之日起</w:t>
            </w:r>
            <w:r>
              <w:rPr>
                <w:rFonts w:ascii="仿宋_GB2312" w:hAnsi="仿宋_GB2312" w:cs="仿宋_GB2312" w:eastAsia="仿宋_GB2312"/>
              </w:rPr>
              <w:t xml:space="preserve"> </w:t>
            </w:r>
            <w:r>
              <w:rPr>
                <w:rFonts w:ascii="仿宋_GB2312" w:hAnsi="仿宋_GB2312" w:cs="仿宋_GB2312" w:eastAsia="仿宋_GB2312"/>
              </w:rPr>
              <w:t>30</w:t>
            </w:r>
            <w:r>
              <w:rPr>
                <w:rFonts w:ascii="仿宋_GB2312" w:hAnsi="仿宋_GB2312" w:cs="仿宋_GB2312" w:eastAsia="仿宋_GB2312"/>
              </w:rPr>
              <w:t>日历日</w:t>
            </w:r>
            <w:r>
              <w:rPr>
                <w:rFonts w:ascii="仿宋_GB2312" w:hAnsi="仿宋_GB2312" w:cs="仿宋_GB2312" w:eastAsia="仿宋_GB2312"/>
              </w:rPr>
              <w:t>完工</w:t>
            </w:r>
            <w:r>
              <w:rPr>
                <w:rFonts w:ascii="仿宋_GB2312" w:hAnsi="仿宋_GB2312" w:cs="仿宋_GB2312" w:eastAsia="仿宋_GB2312"/>
              </w:rPr>
              <w:t>。</w:t>
            </w:r>
          </w:p>
          <w:p>
            <w:pPr>
              <w:pStyle w:val="null3"/>
            </w:pPr>
            <w:r>
              <w:rPr>
                <w:rFonts w:ascii="仿宋_GB2312" w:hAnsi="仿宋_GB2312" w:cs="仿宋_GB2312" w:eastAsia="仿宋_GB2312"/>
                <w:b/>
              </w:rPr>
              <w:t>三、编制说明</w:t>
            </w:r>
          </w:p>
          <w:p>
            <w:pPr>
              <w:pStyle w:val="null3"/>
            </w:pPr>
            <w:r>
              <w:rPr>
                <w:rFonts w:ascii="仿宋_GB2312" w:hAnsi="仿宋_GB2312" w:cs="仿宋_GB2312" w:eastAsia="仿宋_GB2312"/>
              </w:rPr>
              <w:t>（一）</w:t>
            </w:r>
            <w:r>
              <w:rPr>
                <w:rFonts w:ascii="仿宋_GB2312" w:hAnsi="仿宋_GB2312" w:cs="仿宋_GB2312" w:eastAsia="仿宋_GB2312"/>
              </w:rPr>
              <w:t>工程量清单</w:t>
            </w:r>
            <w:r>
              <w:rPr>
                <w:rFonts w:ascii="仿宋_GB2312" w:hAnsi="仿宋_GB2312" w:cs="仿宋_GB2312" w:eastAsia="仿宋_GB2312"/>
              </w:rPr>
              <w:t>编制依据：</w:t>
            </w:r>
          </w:p>
          <w:p>
            <w:pPr>
              <w:pStyle w:val="null3"/>
            </w:pPr>
            <w:r>
              <w:rPr>
                <w:rFonts w:ascii="仿宋_GB2312" w:hAnsi="仿宋_GB2312" w:cs="仿宋_GB2312" w:eastAsia="仿宋_GB2312"/>
              </w:rPr>
              <w:t>1.《陕西省建设工程费用规则》（2025）、《建设工程工程量清单计价标准》（2025）、《房屋建筑与装饰工程工程量计算标准》（2025）、《通用安装工程工程量计算标准》（2025）；</w:t>
            </w:r>
          </w:p>
          <w:p>
            <w:pPr>
              <w:pStyle w:val="null3"/>
            </w:pPr>
            <w:r>
              <w:rPr>
                <w:rFonts w:ascii="仿宋_GB2312" w:hAnsi="仿宋_GB2312" w:cs="仿宋_GB2312" w:eastAsia="仿宋_GB2312"/>
              </w:rPr>
              <w:t>2.正常施工组织设计、施工方法及标准图集；</w:t>
            </w:r>
          </w:p>
          <w:p>
            <w:pPr>
              <w:pStyle w:val="null3"/>
            </w:pPr>
            <w:r>
              <w:rPr>
                <w:rFonts w:ascii="仿宋_GB2312" w:hAnsi="仿宋_GB2312" w:cs="仿宋_GB2312" w:eastAsia="仿宋_GB2312"/>
              </w:rPr>
              <w:t>3.依据团结片区朔十线徐东支高低压及10KV徐二十五花苑支电力线路迁改工程的施工图纸计算工程量；</w:t>
            </w:r>
          </w:p>
          <w:p>
            <w:pPr>
              <w:pStyle w:val="null3"/>
            </w:pPr>
            <w:r>
              <w:rPr>
                <w:rFonts w:ascii="仿宋_GB2312" w:hAnsi="仿宋_GB2312" w:cs="仿宋_GB2312" w:eastAsia="仿宋_GB2312"/>
              </w:rPr>
              <w:t>4.计价软件采用广联达云计价平台GCCP 7.0 版本：7.5000.23.1。</w:t>
            </w:r>
          </w:p>
          <w:p>
            <w:pPr>
              <w:pStyle w:val="null3"/>
            </w:pPr>
            <w:r>
              <w:rPr>
                <w:rFonts w:ascii="仿宋_GB2312" w:hAnsi="仿宋_GB2312" w:cs="仿宋_GB2312" w:eastAsia="仿宋_GB2312"/>
              </w:rPr>
              <w:t>（二）投标最高限价编制依据：</w:t>
            </w:r>
          </w:p>
          <w:p>
            <w:pPr>
              <w:pStyle w:val="null3"/>
            </w:pPr>
            <w:r>
              <w:rPr>
                <w:rFonts w:ascii="仿宋_GB2312" w:hAnsi="仿宋_GB2312" w:cs="仿宋_GB2312" w:eastAsia="仿宋_GB2312"/>
              </w:rPr>
              <w:t>1.《陕西省建设工程费用规则》（2025）、《建设工程工程量清单计价标准》（2025）、《房屋建筑与装饰工程工程量计算标准》（2025）、《通用安装工程工程量计算标准》（2025）和《陕西省房屋建筑与装饰工程消耗量定额》（2025）、《陕西省通用安装工程消耗量定额》（2025）及其配套的基价表；</w:t>
            </w:r>
          </w:p>
          <w:p>
            <w:pPr>
              <w:pStyle w:val="null3"/>
            </w:pPr>
            <w:r>
              <w:rPr>
                <w:rFonts w:ascii="仿宋_GB2312" w:hAnsi="仿宋_GB2312" w:cs="仿宋_GB2312" w:eastAsia="仿宋_GB2312"/>
              </w:rPr>
              <w:t>2.正常施工组织设计、施工方法及标准图集；</w:t>
            </w:r>
          </w:p>
          <w:p>
            <w:pPr>
              <w:pStyle w:val="null3"/>
            </w:pPr>
            <w:r>
              <w:rPr>
                <w:rFonts w:ascii="仿宋_GB2312" w:hAnsi="仿宋_GB2312" w:cs="仿宋_GB2312" w:eastAsia="仿宋_GB2312"/>
              </w:rPr>
              <w:t>3.依据团结片区朔十线徐东支高低压及10KV徐二十五花苑支电力线路迁改工程的施工图纸计算工程量；</w:t>
            </w:r>
          </w:p>
          <w:p>
            <w:pPr>
              <w:pStyle w:val="null3"/>
            </w:pPr>
            <w:r>
              <w:rPr>
                <w:rFonts w:ascii="仿宋_GB2312" w:hAnsi="仿宋_GB2312" w:cs="仿宋_GB2312" w:eastAsia="仿宋_GB2312"/>
              </w:rPr>
              <w:t>4.计价软件采用广联达云计价平台GCCP 7.0 版本：7.5000.23.1。</w:t>
            </w:r>
          </w:p>
          <w:p>
            <w:pPr>
              <w:pStyle w:val="null3"/>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其他说明</w:t>
            </w:r>
          </w:p>
          <w:p>
            <w:pPr>
              <w:pStyle w:val="null3"/>
            </w:pPr>
            <w:r>
              <w:rPr>
                <w:rFonts w:ascii="仿宋_GB2312" w:hAnsi="仿宋_GB2312" w:cs="仿宋_GB2312" w:eastAsia="仿宋_GB2312"/>
              </w:rPr>
              <w:t>1.其他项目：专业暂估价（不含税金额）：供电手续办理协调费、勘察设计服务费，电缆通道使用及维护费：238000元（¥贰拾叁万捌仟元整），移动电源车：73068元（¥柒万叁仟零陆拾捌元整）</w:t>
            </w:r>
          </w:p>
          <w:p>
            <w:pPr>
              <w:pStyle w:val="null3"/>
            </w:pPr>
            <w:r>
              <w:rPr>
                <w:rFonts w:ascii="仿宋_GB2312" w:hAnsi="仿宋_GB2312" w:cs="仿宋_GB2312" w:eastAsia="仿宋_GB2312"/>
              </w:rPr>
              <w:t>2.本工程量清单所提供工程项目特征仅表达了主要工程做法，组价时应依据设计图纸、相关图集，结合招标文件，合同条款，技术规范、图纸、答疑纪要等进行组价。</w:t>
            </w:r>
          </w:p>
          <w:p>
            <w:pPr>
              <w:pStyle w:val="null3"/>
            </w:pPr>
            <w:r>
              <w:rPr>
                <w:rFonts w:ascii="仿宋_GB2312" w:hAnsi="仿宋_GB2312" w:cs="仿宋_GB2312" w:eastAsia="仿宋_GB2312"/>
              </w:rPr>
              <w:t>（</w:t>
            </w:r>
            <w:r>
              <w:rPr>
                <w:rFonts w:ascii="仿宋_GB2312" w:hAnsi="仿宋_GB2312" w:cs="仿宋_GB2312" w:eastAsia="仿宋_GB2312"/>
              </w:rPr>
              <w:t>四</w:t>
            </w:r>
            <w:r>
              <w:rPr>
                <w:rFonts w:ascii="仿宋_GB2312" w:hAnsi="仿宋_GB2312" w:cs="仿宋_GB2312" w:eastAsia="仿宋_GB2312"/>
              </w:rPr>
              <w:t>）工程量清单：电子版另附。</w:t>
            </w:r>
          </w:p>
          <w:p>
            <w:pPr>
              <w:pStyle w:val="null3"/>
            </w:pPr>
            <w:r>
              <w:rPr>
                <w:rFonts w:ascii="仿宋_GB2312" w:hAnsi="仿宋_GB2312" w:cs="仿宋_GB2312" w:eastAsia="仿宋_GB2312"/>
              </w:rPr>
              <w:t>（</w:t>
            </w:r>
            <w:r>
              <w:rPr>
                <w:rFonts w:ascii="仿宋_GB2312" w:hAnsi="仿宋_GB2312" w:cs="仿宋_GB2312" w:eastAsia="仿宋_GB2312"/>
              </w:rPr>
              <w:t>五</w:t>
            </w:r>
            <w:r>
              <w:rPr>
                <w:rFonts w:ascii="仿宋_GB2312" w:hAnsi="仿宋_GB2312" w:cs="仿宋_GB2312" w:eastAsia="仿宋_GB2312"/>
              </w:rPr>
              <w:t>）图纸：电子版另附。</w:t>
            </w:r>
          </w:p>
          <w:p>
            <w:pPr>
              <w:pStyle w:val="null3"/>
            </w:pPr>
            <w:r>
              <w:rPr>
                <w:rFonts w:ascii="仿宋_GB2312" w:hAnsi="仿宋_GB2312" w:cs="仿宋_GB2312" w:eastAsia="仿宋_GB2312"/>
                <w:b/>
              </w:rPr>
              <w:t>四、施工要求</w:t>
            </w:r>
          </w:p>
          <w:p>
            <w:pPr>
              <w:pStyle w:val="null3"/>
            </w:pPr>
            <w:r>
              <w:rPr>
                <w:rFonts w:ascii="仿宋_GB2312" w:hAnsi="仿宋_GB2312" w:cs="仿宋_GB2312" w:eastAsia="仿宋_GB2312"/>
              </w:rPr>
              <w:t>1、成交供应商必须配备足够的人员和充足的机械设备进入实施，确保按时保质保量完成任务。</w:t>
            </w:r>
          </w:p>
          <w:p>
            <w:pPr>
              <w:pStyle w:val="null3"/>
            </w:pPr>
            <w:r>
              <w:rPr>
                <w:rFonts w:ascii="仿宋_GB2312" w:hAnsi="仿宋_GB2312" w:cs="仿宋_GB2312" w:eastAsia="仿宋_GB2312"/>
              </w:rPr>
              <w:t>2、必须严密组织，文明施工，作好四周维护及安全环保措施，所需费用由成交供应商承担，施工过程必须严格遵守政府相关规定。</w:t>
            </w:r>
          </w:p>
          <w:p>
            <w:pPr>
              <w:pStyle w:val="null3"/>
            </w:pPr>
            <w:r>
              <w:rPr>
                <w:rFonts w:ascii="仿宋_GB2312" w:hAnsi="仿宋_GB2312" w:cs="仿宋_GB2312" w:eastAsia="仿宋_GB2312"/>
              </w:rPr>
              <w:t>3、严格遵守西安市关于控制扬尘污染、治污减霾的相关规定，并承担一切安全事故或违规处罚所带来的经济及法律责任。</w:t>
            </w:r>
          </w:p>
          <w:p>
            <w:pPr>
              <w:pStyle w:val="null3"/>
            </w:pPr>
            <w:r>
              <w:rPr>
                <w:rFonts w:ascii="仿宋_GB2312" w:hAnsi="仿宋_GB2312" w:cs="仿宋_GB2312" w:eastAsia="仿宋_GB2312"/>
              </w:rPr>
              <w:t>4、在施工前，承包方应制定施工方案，提出具体的</w:t>
            </w:r>
            <w:r>
              <w:rPr>
                <w:rFonts w:ascii="仿宋_GB2312" w:hAnsi="仿宋_GB2312" w:cs="仿宋_GB2312" w:eastAsia="仿宋_GB2312"/>
              </w:rPr>
              <w:t>施工</w:t>
            </w:r>
            <w:r>
              <w:rPr>
                <w:rFonts w:ascii="仿宋_GB2312" w:hAnsi="仿宋_GB2312" w:cs="仿宋_GB2312" w:eastAsia="仿宋_GB2312"/>
              </w:rPr>
              <w:t>措施</w:t>
            </w:r>
            <w:r>
              <w:rPr>
                <w:rFonts w:ascii="仿宋_GB2312" w:hAnsi="仿宋_GB2312" w:cs="仿宋_GB2312" w:eastAsia="仿宋_GB2312"/>
              </w:rPr>
              <w:t>。</w:t>
            </w:r>
          </w:p>
          <w:p>
            <w:pPr>
              <w:pStyle w:val="null3"/>
            </w:pPr>
            <w:r>
              <w:rPr>
                <w:rFonts w:ascii="仿宋_GB2312" w:hAnsi="仿宋_GB2312" w:cs="仿宋_GB2312" w:eastAsia="仿宋_GB2312"/>
              </w:rPr>
              <w:t>承包方在垃圾外运中应严格遵守</w:t>
            </w:r>
            <w:r>
              <w:rPr>
                <w:rFonts w:ascii="仿宋_GB2312" w:hAnsi="仿宋_GB2312" w:cs="仿宋_GB2312" w:eastAsia="仿宋_GB2312"/>
              </w:rPr>
              <w:t>未央</w:t>
            </w:r>
            <w:r>
              <w:rPr>
                <w:rFonts w:ascii="仿宋_GB2312" w:hAnsi="仿宋_GB2312" w:cs="仿宋_GB2312" w:eastAsia="仿宋_GB2312"/>
              </w:rPr>
              <w:t>区关于治污减霾相关规定，服从采购人相关部门管理，严格做好治污减霾工作。</w:t>
            </w:r>
          </w:p>
          <w:p>
            <w:pPr>
              <w:pStyle w:val="null3"/>
            </w:pPr>
            <w:r>
              <w:rPr>
                <w:rFonts w:ascii="仿宋_GB2312" w:hAnsi="仿宋_GB2312" w:cs="仿宋_GB2312" w:eastAsia="仿宋_GB2312"/>
              </w:rPr>
              <w:t>5、承包方负责现场安全管理工作，并承担全部责任及由此产生的全部费用，现场人员由承包方按照相关规定办理相关保险事宜。</w:t>
            </w:r>
          </w:p>
          <w:p>
            <w:pPr>
              <w:pStyle w:val="null3"/>
            </w:pPr>
            <w:r>
              <w:rPr>
                <w:rFonts w:ascii="仿宋_GB2312" w:hAnsi="仿宋_GB2312" w:cs="仿宋_GB2312" w:eastAsia="仿宋_GB2312"/>
                <w:b/>
              </w:rPr>
              <w:t>五、商务要求</w:t>
            </w:r>
          </w:p>
          <w:p>
            <w:pPr>
              <w:pStyle w:val="null3"/>
            </w:pPr>
            <w:r>
              <w:rPr>
                <w:rFonts w:ascii="仿宋_GB2312" w:hAnsi="仿宋_GB2312" w:cs="仿宋_GB2312" w:eastAsia="仿宋_GB2312"/>
              </w:rPr>
              <w:t>付款方式：</w:t>
            </w:r>
          </w:p>
          <w:p>
            <w:pPr>
              <w:pStyle w:val="null3"/>
            </w:pPr>
            <w:r>
              <w:rPr>
                <w:rFonts w:ascii="仿宋_GB2312" w:hAnsi="仿宋_GB2312" w:cs="仿宋_GB2312" w:eastAsia="仿宋_GB2312"/>
              </w:rPr>
              <w:t>1.预付款支付条款：</w:t>
            </w:r>
          </w:p>
          <w:p>
            <w:pPr>
              <w:pStyle w:val="null3"/>
            </w:pPr>
            <w:r>
              <w:rPr>
                <w:rFonts w:ascii="仿宋_GB2312" w:hAnsi="仿宋_GB2312" w:cs="仿宋_GB2312" w:eastAsia="仿宋_GB2312"/>
              </w:rPr>
              <w:t>（</w:t>
            </w:r>
            <w:r>
              <w:rPr>
                <w:rFonts w:ascii="仿宋_GB2312" w:hAnsi="仿宋_GB2312" w:cs="仿宋_GB2312" w:eastAsia="仿宋_GB2312"/>
              </w:rPr>
              <w:t>1）本合同设置预付款：</w:t>
            </w:r>
          </w:p>
          <w:p>
            <w:pPr>
              <w:pStyle w:val="null3"/>
            </w:pPr>
            <w:r>
              <w:rPr>
                <w:rFonts w:ascii="仿宋_GB2312" w:hAnsi="仿宋_GB2312" w:cs="仿宋_GB2312" w:eastAsia="仿宋_GB2312"/>
              </w:rPr>
              <w:t>（</w:t>
            </w:r>
            <w:r>
              <w:rPr>
                <w:rFonts w:ascii="仿宋_GB2312" w:hAnsi="仿宋_GB2312" w:cs="仿宋_GB2312" w:eastAsia="仿宋_GB2312"/>
              </w:rPr>
              <w:t>2）付款条件说明：合同签订后，达到付款条件起 30 日内，支付合同总金额的40.00%。</w:t>
            </w:r>
          </w:p>
          <w:p>
            <w:pPr>
              <w:pStyle w:val="null3"/>
            </w:pPr>
            <w:r>
              <w:rPr>
                <w:rFonts w:ascii="仿宋_GB2312" w:hAnsi="仿宋_GB2312" w:cs="仿宋_GB2312" w:eastAsia="仿宋_GB2312"/>
              </w:rPr>
              <w:t>（</w:t>
            </w:r>
            <w:r>
              <w:rPr>
                <w:rFonts w:ascii="仿宋_GB2312" w:hAnsi="仿宋_GB2312" w:cs="仿宋_GB2312" w:eastAsia="仿宋_GB2312"/>
              </w:rPr>
              <w:t>3）付款条件说明：</w:t>
            </w:r>
            <w:r>
              <w:rPr>
                <w:rFonts w:ascii="仿宋_GB2312" w:hAnsi="仿宋_GB2312" w:cs="仿宋_GB2312" w:eastAsia="仿宋_GB2312"/>
              </w:rPr>
              <w:t>工程全部竣工验收通过后</w:t>
            </w:r>
            <w:r>
              <w:rPr>
                <w:rFonts w:ascii="仿宋_GB2312" w:hAnsi="仿宋_GB2312" w:cs="仿宋_GB2312" w:eastAsia="仿宋_GB2312"/>
              </w:rPr>
              <w:t xml:space="preserve"> </w:t>
            </w:r>
            <w:r>
              <w:rPr>
                <w:rFonts w:ascii="仿宋_GB2312" w:hAnsi="仿宋_GB2312" w:cs="仿宋_GB2312" w:eastAsia="仿宋_GB2312"/>
              </w:rPr>
              <w:t>，达到付款条件起</w:t>
            </w:r>
            <w:r>
              <w:rPr>
                <w:rFonts w:ascii="仿宋_GB2312" w:hAnsi="仿宋_GB2312" w:cs="仿宋_GB2312" w:eastAsia="仿宋_GB2312"/>
              </w:rPr>
              <w:t>30日内，支付合同总金额的</w:t>
            </w:r>
            <w:r>
              <w:rPr>
                <w:rFonts w:ascii="仿宋_GB2312" w:hAnsi="仿宋_GB2312" w:cs="仿宋_GB2312" w:eastAsia="仿宋_GB2312"/>
              </w:rPr>
              <w:t>40</w:t>
            </w:r>
            <w:r>
              <w:rPr>
                <w:rFonts w:ascii="仿宋_GB2312" w:hAnsi="仿宋_GB2312" w:cs="仿宋_GB2312" w:eastAsia="仿宋_GB2312"/>
              </w:rPr>
              <w:t>.00%。</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）付款条件说明：</w:t>
            </w:r>
            <w:r>
              <w:rPr>
                <w:rFonts w:ascii="仿宋_GB2312" w:hAnsi="仿宋_GB2312" w:cs="仿宋_GB2312" w:eastAsia="仿宋_GB2312"/>
              </w:rPr>
              <w:t>工程审计结束后</w:t>
            </w:r>
            <w:r>
              <w:rPr>
                <w:rFonts w:ascii="仿宋_GB2312" w:hAnsi="仿宋_GB2312" w:cs="仿宋_GB2312" w:eastAsia="仿宋_GB2312"/>
              </w:rPr>
              <w:t xml:space="preserve"> </w:t>
            </w:r>
            <w:r>
              <w:rPr>
                <w:rFonts w:ascii="仿宋_GB2312" w:hAnsi="仿宋_GB2312" w:cs="仿宋_GB2312" w:eastAsia="仿宋_GB2312"/>
              </w:rPr>
              <w:t>，达到付款条件起</w:t>
            </w:r>
            <w:r>
              <w:rPr>
                <w:rFonts w:ascii="仿宋_GB2312" w:hAnsi="仿宋_GB2312" w:cs="仿宋_GB2312" w:eastAsia="仿宋_GB2312"/>
              </w:rPr>
              <w:t>30日内，支付合同总金额的</w:t>
            </w:r>
            <w:r>
              <w:rPr>
                <w:rFonts w:ascii="仿宋_GB2312" w:hAnsi="仿宋_GB2312" w:cs="仿宋_GB2312" w:eastAsia="仿宋_GB2312"/>
              </w:rPr>
              <w:t>20</w:t>
            </w:r>
            <w:r>
              <w:rPr>
                <w:rFonts w:ascii="仿宋_GB2312" w:hAnsi="仿宋_GB2312" w:cs="仿宋_GB2312" w:eastAsia="仿宋_GB2312"/>
              </w:rPr>
              <w:t>.00%。</w:t>
            </w:r>
          </w:p>
          <w:p>
            <w:pPr>
              <w:pStyle w:val="null3"/>
            </w:pPr>
            <w:r>
              <w:rPr>
                <w:rFonts w:ascii="仿宋_GB2312" w:hAnsi="仿宋_GB2312" w:cs="仿宋_GB2312" w:eastAsia="仿宋_GB2312"/>
              </w:rPr>
              <w:t>2</w:t>
            </w:r>
            <w:r>
              <w:rPr>
                <w:rFonts w:ascii="仿宋_GB2312" w:hAnsi="仿宋_GB2312" w:cs="仿宋_GB2312" w:eastAsia="仿宋_GB2312"/>
              </w:rPr>
              <w:t>、质量要求：</w:t>
            </w:r>
          </w:p>
          <w:p>
            <w:pPr>
              <w:pStyle w:val="null3"/>
            </w:pPr>
            <w:r>
              <w:rPr>
                <w:rFonts w:ascii="仿宋_GB2312" w:hAnsi="仿宋_GB2312" w:cs="仿宋_GB2312" w:eastAsia="仿宋_GB2312"/>
              </w:rPr>
              <w:t>达到国家现行有关施工质量验收规范</w:t>
            </w:r>
            <w:r>
              <w:rPr>
                <w:rFonts w:ascii="仿宋_GB2312" w:hAnsi="仿宋_GB2312" w:cs="仿宋_GB2312" w:eastAsia="仿宋_GB2312"/>
              </w:rPr>
              <w:t>“合格”标准。</w:t>
            </w:r>
          </w:p>
          <w:p>
            <w:pPr>
              <w:pStyle w:val="null3"/>
            </w:pPr>
            <w:r>
              <w:rPr>
                <w:rFonts w:ascii="仿宋_GB2312" w:hAnsi="仿宋_GB2312" w:cs="仿宋_GB2312" w:eastAsia="仿宋_GB2312"/>
              </w:rPr>
              <w:t>3</w:t>
            </w:r>
            <w:r>
              <w:rPr>
                <w:rFonts w:ascii="仿宋_GB2312" w:hAnsi="仿宋_GB2312" w:cs="仿宋_GB2312" w:eastAsia="仿宋_GB2312"/>
              </w:rPr>
              <w:t>、质量保修期：</w:t>
            </w:r>
          </w:p>
          <w:p>
            <w:pPr>
              <w:pStyle w:val="null3"/>
              <w:jc w:val="both"/>
            </w:pPr>
            <w:r>
              <w:rPr>
                <w:rFonts w:ascii="仿宋_GB2312" w:hAnsi="仿宋_GB2312" w:cs="仿宋_GB2312" w:eastAsia="仿宋_GB2312"/>
                <w:sz w:val="21"/>
              </w:rPr>
              <w:t>自工程竣工验收合格之日起</w:t>
            </w:r>
            <w:r>
              <w:rPr>
                <w:rFonts w:ascii="仿宋_GB2312" w:hAnsi="仿宋_GB2312" w:cs="仿宋_GB2312" w:eastAsia="仿宋_GB2312"/>
                <w:sz w:val="21"/>
              </w:rPr>
              <w:t>1年。</w:t>
            </w:r>
          </w:p>
          <w:p>
            <w:pPr>
              <w:pStyle w:val="null3"/>
              <w:jc w:val="both"/>
            </w:pPr>
            <w:r>
              <w:rPr>
                <w:rFonts w:ascii="仿宋_GB2312" w:hAnsi="仿宋_GB2312" w:cs="仿宋_GB2312" w:eastAsia="仿宋_GB2312"/>
                <w:sz w:val="21"/>
                <w:b/>
              </w:rPr>
              <w:t>六、</w:t>
            </w:r>
            <w:r>
              <w:rPr>
                <w:rFonts w:ascii="仿宋_GB2312" w:hAnsi="仿宋_GB2312" w:cs="仿宋_GB2312" w:eastAsia="仿宋_GB2312"/>
                <w:sz w:val="21"/>
                <w:b/>
              </w:rPr>
              <w:t>其他</w:t>
            </w:r>
          </w:p>
          <w:p>
            <w:pPr>
              <w:pStyle w:val="null3"/>
            </w:pPr>
            <w:r>
              <w:rPr>
                <w:rFonts w:ascii="仿宋_GB2312" w:hAnsi="仿宋_GB2312" w:cs="仿宋_GB2312" w:eastAsia="仿宋_GB2312"/>
              </w:rPr>
              <w:t>1、已标价工程量清单中</w:t>
            </w:r>
            <w:r>
              <w:rPr>
                <w:rFonts w:ascii="仿宋_GB2312" w:hAnsi="仿宋_GB2312" w:cs="仿宋_GB2312" w:eastAsia="仿宋_GB2312"/>
              </w:rPr>
              <w:t>分部分项工程项目费</w:t>
            </w:r>
            <w:r>
              <w:rPr>
                <w:rFonts w:ascii="仿宋_GB2312" w:hAnsi="仿宋_GB2312" w:cs="仿宋_GB2312" w:eastAsia="仿宋_GB2312"/>
              </w:rPr>
              <w:t>金额不得超出</w:t>
            </w:r>
            <w:r>
              <w:rPr>
                <w:rFonts w:ascii="仿宋_GB2312" w:hAnsi="仿宋_GB2312" w:cs="仿宋_GB2312" w:eastAsia="仿宋_GB2312"/>
              </w:rPr>
              <w:t>699078.17元;</w:t>
            </w:r>
          </w:p>
          <w:p>
            <w:pPr>
              <w:pStyle w:val="null3"/>
            </w:pPr>
            <w:r>
              <w:rPr>
                <w:rFonts w:ascii="仿宋_GB2312" w:hAnsi="仿宋_GB2312" w:cs="仿宋_GB2312" w:eastAsia="仿宋_GB2312"/>
              </w:rPr>
              <w:t>2、已标价工程量清单中</w:t>
            </w:r>
            <w:r>
              <w:rPr>
                <w:rFonts w:ascii="仿宋_GB2312" w:hAnsi="仿宋_GB2312" w:cs="仿宋_GB2312" w:eastAsia="仿宋_GB2312"/>
              </w:rPr>
              <w:t>措施项目费</w:t>
            </w:r>
            <w:r>
              <w:rPr>
                <w:rFonts w:ascii="仿宋_GB2312" w:hAnsi="仿宋_GB2312" w:cs="仿宋_GB2312" w:eastAsia="仿宋_GB2312"/>
              </w:rPr>
              <w:t>金额不得超出</w:t>
            </w:r>
            <w:r>
              <w:rPr>
                <w:rFonts w:ascii="仿宋_GB2312" w:hAnsi="仿宋_GB2312" w:cs="仿宋_GB2312" w:eastAsia="仿宋_GB2312"/>
              </w:rPr>
              <w:t>9626.35</w:t>
            </w:r>
            <w:r>
              <w:rPr>
                <w:rFonts w:ascii="仿宋_GB2312" w:hAnsi="仿宋_GB2312" w:cs="仿宋_GB2312" w:eastAsia="仿宋_GB2312"/>
              </w:rPr>
              <w:t>元</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已标价工程量清单中</w:t>
            </w:r>
            <w:r>
              <w:rPr>
                <w:rFonts w:ascii="仿宋_GB2312" w:hAnsi="仿宋_GB2312" w:cs="仿宋_GB2312" w:eastAsia="仿宋_GB2312"/>
              </w:rPr>
              <w:t>安全文明施工措施费</w:t>
            </w:r>
            <w:r>
              <w:rPr>
                <w:rFonts w:ascii="仿宋_GB2312" w:hAnsi="仿宋_GB2312" w:cs="仿宋_GB2312" w:eastAsia="仿宋_GB2312"/>
              </w:rPr>
              <w:t>金额不得超出</w:t>
            </w:r>
            <w:r>
              <w:rPr>
                <w:rFonts w:ascii="仿宋_GB2312" w:hAnsi="仿宋_GB2312" w:cs="仿宋_GB2312" w:eastAsia="仿宋_GB2312"/>
              </w:rPr>
              <w:t>7407.16</w:t>
            </w:r>
            <w:r>
              <w:rPr>
                <w:rFonts w:ascii="仿宋_GB2312" w:hAnsi="仿宋_GB2312" w:cs="仿宋_GB2312" w:eastAsia="仿宋_GB2312"/>
              </w:rPr>
              <w:t>元</w:t>
            </w:r>
            <w:r>
              <w:rPr>
                <w:rFonts w:ascii="仿宋_GB2312" w:hAnsi="仿宋_GB2312" w:cs="仿宋_GB2312" w:eastAsia="仿宋_GB2312"/>
              </w:rPr>
              <w:t>。</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:不符合要求的磋商响应文件将按照无效磋商处理。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1、各供应商所有分项报价（与最后磋商报价比例一致）同比例下浮。 2、工期：自合同签订之日起 30日历日完工。 3、付款条件说明：合同签订后，达到付款条件起 30 日内，支付合同总金额的40.00%；工程全部竣工验收通过后，达到付款条件起 30日内，支付合同总金额的40.00%；工程审计结束后，达到付款条件起 30日内，支付合同总金额的20.00%。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及被授权代表开标截止前三个月内任意一个月在本单位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建设行政主管部门核发的电力工程施工总承包三级（含三级）以上资质或输变电专业工程承包三级（含三级）以上资质；同时具备下列三项许可证：《承装电力设施许可证》、《承修电力设施许可证》、《承试电力设施许可证》，各证书须为四级（含四级）及以上资格，以及合法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合法有效的机电工程专业注册建造师二级（含二级）以上执业资格和安全生产考核合格证书（安全B证），在本单位注册且无在建工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至少以下三处的项目名称、项目编号、标段与本项目完全一致：（1）竞争性磋商响应文件封面（2）响应函（3）法定代表人（主要负责人）委托授权书\身份证明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对该项目实施的重点、难点进行分析，对易发生质量通病、易出现安全问题、施工难度大、技术含量高的部分进行说明并给出施工保障措施和专项技术方案（含主要施工方法、组织措施、检验手段等）。内容合理、方案具体可行、完全符合要求得6.1-8.0分；内容较合理、方案可行性一般，基本符合要求得3.1-6.0分；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整体进度安排（施工进度表或施工网络图）及各阶段进度保证措施内容合理、方案具体可行、完全符合要求得3.1-5.0分；内容较合理、方案可行性一般，基本符合要求得2.1-3.0分；内容不完备、方案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内容合理、方案具体可行、完全符合要求得3.1-5.0分；内容较合理、方案可行性一般，基本符合要求得2.1-3.0分；内容不完备、方案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内容合理、方案具体可行、完全符合要求得3.1-5.0分；内容较合理、方案可行性一般，基本符合要求得2.1-3.0分；内容不完备、方案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安全文明、环保保证体系组织措施和控制点设置合理，内容合理、方案具体可行、完全符合要求得3.1-5.0分；内容较合理、方案可行性一般，基本符合要求得2.1-3.0分； 内容不完备、方案可行性差、不能全面符合要求得1.0-2.0分；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搭配合理，职位分明、有相应的技术能力。人员配备合理、科学可行、完全符合要求得3.1-5.0分；人员配备较合理、可行性一般，基本符合要求得2.1-3.0分；人员配备不完备、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劳动力和材料投入计划</w:t>
            </w:r>
          </w:p>
        </w:tc>
        <w:tc>
          <w:tcPr>
            <w:tcW w:type="dxa" w:w="2492"/>
          </w:tcPr>
          <w:p>
            <w:pPr>
              <w:pStyle w:val="null3"/>
            </w:pPr>
            <w:r>
              <w:rPr>
                <w:rFonts w:ascii="仿宋_GB2312" w:hAnsi="仿宋_GB2312" w:cs="仿宋_GB2312" w:eastAsia="仿宋_GB2312"/>
              </w:rPr>
              <w:t>供应商针对本项目提供详细的劳动力和材料投入计划及其保证措施。措施完备，详细、可操作性强计3.1-5.0分；措施基本合理、较详细、可操作性一般得2.1-3.0分；措施欠缺或内容不完备得1.0-2.0分；未提供不计分。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机械设备投入计划</w:t>
            </w:r>
          </w:p>
        </w:tc>
        <w:tc>
          <w:tcPr>
            <w:tcW w:type="dxa" w:w="2492"/>
          </w:tcPr>
          <w:p>
            <w:pPr>
              <w:pStyle w:val="null3"/>
            </w:pPr>
            <w:r>
              <w:rPr>
                <w:rFonts w:ascii="仿宋_GB2312" w:hAnsi="仿宋_GB2312" w:cs="仿宋_GB2312" w:eastAsia="仿宋_GB2312"/>
              </w:rPr>
              <w:t>供应商针对本项目提供满足项目施工需要，与项目施工进度相适应的机械设备投入计划。计划完备，详细、可行性强计3.1-5.0分；计划较合理、较详细、基本可行得2.1-3.0分；计划欠缺或内容不完备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现场扬尘管理措施合理、有详尽的扬尘控制措施并可达到国家控制的标准得3.1-5.0分；现场扬尘管理措施较为合理得2.1-3.0分；现场扬尘管理措施一般得1.0-2.0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供应商针对本项目提出新技术、新产品、新工艺、新材料应用，并提供采用新技术、新产品、新工艺、新材料对工程质量安全、缩短工期、降低成本的措施。方案合理、详尽、满足项目需要得1.1-2.0分；方案一般得0.1-1.0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供应商自2022年10月1日以来承担过类似项目业绩。（以合同签订日期或中标通知书签署日期为准)；每提供一项业绩得1 分，最高得2分。须提供合同或中标通知书复印件并加盖公章，不提供不得分。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根据供应商提供的保修服务承诺及优化建议等方面的承诺措施其中包括工程保修期内的定期回访方案及维修方案，方案完善、科学合理，针对性强、服务承诺明确，计2.1-3.0分；方案一般、特点和承诺一般，计1.0-2.0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竞争性磋商文件实质性要求且最后报价最低的供应商的价格为磋商基准价，其价格分为满分45分。3.磋商报价得分=（磋商基准价/磋商评审价）×45%*100的公式计算得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详见附件：磋商响应方案说明.docx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