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版本号：HHGJZC2025-CS33820251028001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食堂主副食采购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HHGJZC2025-CS338</w:t>
      </w:r>
      <w:r>
        <w:br/>
      </w:r>
      <w:r>
        <w:br/>
      </w:r>
      <w:r>
        <w:br/>
      </w:r>
    </w:p>
    <w:p>
      <w:pPr>
        <w:pStyle w:val="null3"/>
        <w:jc w:val="center"/>
        <w:outlineLvl w:val="2"/>
      </w:pPr>
      <w:r>
        <w:rPr>
          <w:rFonts w:ascii="仿宋_GB2312" w:hAnsi="仿宋_GB2312" w:cs="仿宋_GB2312" w:eastAsia="仿宋_GB2312"/>
          <w:sz w:val="28"/>
          <w:b/>
        </w:rPr>
        <w:t>西安市自然资源和规划局未央分局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西安市自然资源和规划局未央分局</w:t>
      </w:r>
      <w:r>
        <w:rPr>
          <w:rFonts w:ascii="仿宋_GB2312" w:hAnsi="仿宋_GB2312" w:cs="仿宋_GB2312" w:eastAsia="仿宋_GB2312"/>
        </w:rPr>
        <w:t>委托，拟对</w:t>
      </w:r>
      <w:r>
        <w:rPr>
          <w:rFonts w:ascii="仿宋_GB2312" w:hAnsi="仿宋_GB2312" w:cs="仿宋_GB2312" w:eastAsia="仿宋_GB2312"/>
        </w:rPr>
        <w:t>食堂主副食采购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HHGJZC2025-CS338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食堂主副食采购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西安市自然资源和规划局未央分局食堂主副食采购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采购包1（西安市自然资源和规划局未央分局食堂主副食采购）：属于专门面向中小企业采购。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3、企业资质1：供应商为生产厂家的需提供《食品生产许可证》，供应商为代理商的需提供《食品经营许可证》；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西安市自然资源和规划局未央分局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陕西省西安市未央区龙首北路西段29号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15529303719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代理服务费收费标准：定额收取：人民币玖仟元整（￥9000.00元）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西安市自然资源和规划局未央分局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西安市自然资源和规划局未央分局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西安市自然资源和规划局未央分局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西安市自然资源和规划局未央分局食堂主副食采购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食堂主副食采购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标的名称：食堂主副食采购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一、采购内容</w:t>
            </w:r>
          </w:p>
          <w:p>
            <w:pPr>
              <w:pStyle w:val="null3"/>
              <w:jc w:val="both"/>
            </w:pPr>
            <w:r>
              <w:rPr>
                <w:rFonts w:ascii="仿宋_GB2312" w:hAnsi="仿宋_GB2312" w:cs="仿宋_GB2312" w:eastAsia="仿宋_GB2312"/>
                <w:sz w:val="21"/>
              </w:rPr>
              <w:t>西安市自然资源和规划局未央分局局机关食堂主副食采购，供应商需根据采购人要求提供其食堂所需的主副食品，主要内容包括调味品及其他类；粮油类、豆类等；蔬菜类、肉类、水果、水产类、禽蛋类等。</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both"/>
            </w:pPr>
            <w:r>
              <w:rPr>
                <w:rFonts w:ascii="仿宋_GB2312" w:hAnsi="仿宋_GB2312" w:cs="仿宋_GB2312" w:eastAsia="仿宋_GB2312"/>
                <w:sz w:val="21"/>
                <w:b/>
              </w:rPr>
              <w:t>二、相关要求</w:t>
            </w:r>
          </w:p>
          <w:p>
            <w:pPr>
              <w:pStyle w:val="null3"/>
              <w:ind w:firstLine="420"/>
              <w:jc w:val="both"/>
            </w:pPr>
            <w:r>
              <w:rPr>
                <w:rFonts w:ascii="仿宋_GB2312" w:hAnsi="仿宋_GB2312" w:cs="仿宋_GB2312" w:eastAsia="仿宋_GB2312"/>
                <w:sz w:val="21"/>
              </w:rPr>
              <w:t>（一）报价要求：依据市场价进行优惠比率报价</w:t>
            </w:r>
          </w:p>
          <w:p>
            <w:pPr>
              <w:pStyle w:val="null3"/>
              <w:ind w:firstLine="420"/>
              <w:jc w:val="both"/>
            </w:pPr>
            <w:r>
              <w:rPr>
                <w:rFonts w:ascii="仿宋_GB2312" w:hAnsi="仿宋_GB2312" w:cs="仿宋_GB2312" w:eastAsia="仿宋_GB2312"/>
                <w:sz w:val="21"/>
              </w:rPr>
              <w:t>1.所投产品货源渠道正规、无残次品，质量合格。</w:t>
            </w:r>
          </w:p>
          <w:p>
            <w:pPr>
              <w:pStyle w:val="null3"/>
              <w:ind w:firstLine="420"/>
              <w:jc w:val="both"/>
            </w:pPr>
            <w:r>
              <w:rPr>
                <w:rFonts w:ascii="仿宋_GB2312" w:hAnsi="仿宋_GB2312" w:cs="仿宋_GB2312" w:eastAsia="仿宋_GB2312"/>
                <w:sz w:val="21"/>
              </w:rPr>
              <w:t>2.成交供应商供货前先送货物样品，采购人根据成交供应商所提供样品自行选择。</w:t>
            </w:r>
          </w:p>
          <w:p>
            <w:pPr>
              <w:pStyle w:val="null3"/>
              <w:ind w:firstLine="420"/>
              <w:jc w:val="both"/>
            </w:pPr>
            <w:r>
              <w:rPr>
                <w:rFonts w:ascii="仿宋_GB2312" w:hAnsi="仿宋_GB2312" w:cs="仿宋_GB2312" w:eastAsia="仿宋_GB2312"/>
                <w:sz w:val="21"/>
              </w:rPr>
              <w:t>（二）规格要求</w:t>
            </w:r>
          </w:p>
          <w:p>
            <w:pPr>
              <w:pStyle w:val="null3"/>
              <w:ind w:firstLine="420"/>
              <w:jc w:val="both"/>
            </w:pPr>
            <w:r>
              <w:rPr>
                <w:rFonts w:ascii="仿宋_GB2312" w:hAnsi="仿宋_GB2312" w:cs="仿宋_GB2312" w:eastAsia="仿宋_GB2312"/>
                <w:sz w:val="21"/>
              </w:rPr>
              <w:t>1.调料：包装完整，无破损。外包装上有产品名称、等级、数量、检验合格证、生产日期，厂家地址等。</w:t>
            </w:r>
          </w:p>
          <w:p>
            <w:pPr>
              <w:pStyle w:val="null3"/>
              <w:ind w:firstLine="420"/>
              <w:jc w:val="both"/>
            </w:pPr>
            <w:r>
              <w:rPr>
                <w:rFonts w:ascii="仿宋_GB2312" w:hAnsi="仿宋_GB2312" w:cs="仿宋_GB2312" w:eastAsia="仿宋_GB2312"/>
                <w:sz w:val="21"/>
              </w:rPr>
              <w:t>2.蔬菜、肉类：蔬菜无腐烂，无黄叶，蔬菜及肉类必须新鲜等。</w:t>
            </w:r>
          </w:p>
          <w:p>
            <w:pPr>
              <w:pStyle w:val="null3"/>
              <w:ind w:firstLine="420"/>
              <w:jc w:val="both"/>
            </w:pPr>
            <w:r>
              <w:rPr>
                <w:rFonts w:ascii="仿宋_GB2312" w:hAnsi="仿宋_GB2312" w:cs="仿宋_GB2312" w:eastAsia="仿宋_GB2312"/>
                <w:sz w:val="21"/>
              </w:rPr>
              <w:t>3.蔬菜类采购人每周记录一次西安价格信息网价格，并按各大菜场平均价格*（1-优惠率）核定结算价格，供货商所报价格作为参考。个别网站没有公布价格的品种，按采购人市场调研价格结算。合同签订后，优惠率不得随意调整，如供货商无法按合同约定的优惠率供货，视为违约，采购人可随时单方面终止合同。</w:t>
            </w:r>
          </w:p>
          <w:p>
            <w:pPr>
              <w:pStyle w:val="null3"/>
              <w:ind w:firstLine="420"/>
              <w:jc w:val="both"/>
            </w:pPr>
            <w:r>
              <w:rPr>
                <w:rFonts w:ascii="仿宋_GB2312" w:hAnsi="仿宋_GB2312" w:cs="仿宋_GB2312" w:eastAsia="仿宋_GB2312"/>
                <w:sz w:val="21"/>
              </w:rPr>
              <w:t>4.冻货及调料的产品要提供有QS认证、国家机关发出的产品检验合格证书，有明确的商品标签，有生产日期、保质期、质量等级的产品，定期向采购人提供产品的检测报告。</w:t>
            </w:r>
          </w:p>
          <w:p>
            <w:pPr>
              <w:pStyle w:val="null3"/>
              <w:ind w:firstLine="420"/>
              <w:jc w:val="both"/>
            </w:pPr>
            <w:r>
              <w:rPr>
                <w:rFonts w:ascii="仿宋_GB2312" w:hAnsi="仿宋_GB2312" w:cs="仿宋_GB2312" w:eastAsia="仿宋_GB2312"/>
                <w:sz w:val="21"/>
              </w:rPr>
              <w:t>5.所供冻品应保持较好的外观和质量等级，符合国家食品部门的有关标准，保证无异味、无霉烂变质，保证来源于正规生产厂家，供货时须提交厂家当批次有效的检验合格证复印件等符合要求的索证文件，要求冻实而坚硬，无化冻现象，色泽均匀，不粘手，交货时干净、新鲜、无异味。</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水果类供货果形完整、质地好、新鲜，无影响消费的腐烂变质;清洁，基本不含可见异物，无坏死斑块，无明显的机械伤，基本无虫害，无冷害，无异常的外部水分，但冷藏取出后的冷凝水除外;无异常气味和味道，发育充分，达到适当的成熟度；带柄时，其长度不能超过1 cm。</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.其他要求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1）原材料供应商应严格遵守《中华人民共和国食品卫生法》、《动物检疫法》、《食品安全国家标准 食品添加剂使用标准》（GB 2760-2014）等相关规定，一经发现供应以下食品，除全部退货外，将取消供货单位的供货资格，并由供货商承担由此造成的经济责任和法律责任：</w:t>
            </w:r>
          </w:p>
          <w:p>
            <w:pPr>
              <w:pStyle w:val="null3"/>
              <w:ind w:firstLine="420"/>
              <w:jc w:val="both"/>
            </w:pPr>
            <w:r>
              <w:rPr>
                <w:rFonts w:ascii="仿宋_GB2312" w:hAnsi="仿宋_GB2312" w:cs="仿宋_GB2312" w:eastAsia="仿宋_GB2312"/>
                <w:sz w:val="21"/>
              </w:rPr>
              <w:t>① 腐败变质，油脂酸败，霉变，生虫，污秽不洁，混有异物或者其他感官性状异常，含有毒，有害物质污染，可能对人体健康有害的食品；</w:t>
            </w:r>
          </w:p>
          <w:p>
            <w:pPr>
              <w:pStyle w:val="null3"/>
              <w:ind w:firstLine="420"/>
              <w:jc w:val="both"/>
            </w:pPr>
            <w:r>
              <w:rPr>
                <w:rFonts w:ascii="仿宋_GB2312" w:hAnsi="仿宋_GB2312" w:cs="仿宋_GB2312" w:eastAsia="仿宋_GB2312"/>
                <w:sz w:val="21"/>
              </w:rPr>
              <w:t>② 含有毒、有害物质或者被有害物质污染，对人体健康有害的；</w:t>
            </w:r>
          </w:p>
          <w:p>
            <w:pPr>
              <w:pStyle w:val="null3"/>
              <w:ind w:firstLine="420"/>
              <w:jc w:val="both"/>
            </w:pPr>
            <w:r>
              <w:rPr>
                <w:rFonts w:ascii="仿宋_GB2312" w:hAnsi="仿宋_GB2312" w:cs="仿宋_GB2312" w:eastAsia="仿宋_GB2312"/>
                <w:sz w:val="21"/>
              </w:rPr>
              <w:t>③ 含有致病性寄生虫、微生物或者微生物含量超过国家限定标准的；</w:t>
            </w:r>
          </w:p>
          <w:p>
            <w:pPr>
              <w:pStyle w:val="null3"/>
              <w:ind w:firstLine="420"/>
              <w:jc w:val="both"/>
            </w:pPr>
            <w:r>
              <w:rPr>
                <w:rFonts w:ascii="仿宋_GB2312" w:hAnsi="仿宋_GB2312" w:cs="仿宋_GB2312" w:eastAsia="仿宋_GB2312"/>
                <w:sz w:val="21"/>
              </w:rPr>
              <w:t>④ 未经动物检疫部门检疫、检验或者检疫、检验不合格的肉类及其制品；</w:t>
            </w:r>
          </w:p>
          <w:p>
            <w:pPr>
              <w:pStyle w:val="null3"/>
              <w:ind w:firstLine="420"/>
              <w:jc w:val="both"/>
            </w:pPr>
            <w:r>
              <w:rPr>
                <w:rFonts w:ascii="仿宋_GB2312" w:hAnsi="仿宋_GB2312" w:cs="仿宋_GB2312" w:eastAsia="仿宋_GB2312"/>
                <w:sz w:val="21"/>
              </w:rPr>
              <w:t>⑤ 掺假、掺杂、以次充好，影响营养、卫生的；</w:t>
            </w:r>
          </w:p>
          <w:p>
            <w:pPr>
              <w:pStyle w:val="null3"/>
              <w:ind w:firstLine="420"/>
              <w:jc w:val="both"/>
            </w:pPr>
            <w:r>
              <w:rPr>
                <w:rFonts w:ascii="仿宋_GB2312" w:hAnsi="仿宋_GB2312" w:cs="仿宋_GB2312" w:eastAsia="仿宋_GB2312"/>
                <w:sz w:val="21"/>
              </w:rPr>
              <w:t>⑥ 用非食品原料加工的，加入非食品用化学物质。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2）成交人在供货时不得提供以下产品，一经发现采购人有权取消该供货商供货资格。</w:t>
            </w:r>
          </w:p>
          <w:p>
            <w:pPr>
              <w:pStyle w:val="null3"/>
              <w:ind w:firstLine="420"/>
              <w:jc w:val="both"/>
            </w:pPr>
            <w:r>
              <w:rPr>
                <w:rFonts w:ascii="仿宋_GB2312" w:hAnsi="仿宋_GB2312" w:cs="仿宋_GB2312" w:eastAsia="仿宋_GB2312"/>
                <w:sz w:val="21"/>
              </w:rPr>
              <w:t>① 无品名、产地、厂名，生产日期，保质期及中文标识及原料说明的定型包装食品；</w:t>
            </w:r>
          </w:p>
          <w:p>
            <w:pPr>
              <w:pStyle w:val="null3"/>
              <w:ind w:firstLine="420"/>
              <w:jc w:val="both"/>
            </w:pPr>
            <w:r>
              <w:rPr>
                <w:rFonts w:ascii="仿宋_GB2312" w:hAnsi="仿宋_GB2312" w:cs="仿宋_GB2312" w:eastAsia="仿宋_GB2312"/>
                <w:sz w:val="21"/>
              </w:rPr>
              <w:t>② 超过保质期限或不符合食品标签规定的定型包装食品；</w:t>
            </w:r>
          </w:p>
          <w:p>
            <w:pPr>
              <w:pStyle w:val="null3"/>
              <w:ind w:firstLine="420"/>
              <w:jc w:val="both"/>
            </w:pPr>
            <w:r>
              <w:rPr>
                <w:rFonts w:ascii="仿宋_GB2312" w:hAnsi="仿宋_GB2312" w:cs="仿宋_GB2312" w:eastAsia="仿宋_GB2312"/>
                <w:sz w:val="21"/>
              </w:rPr>
              <w:t>③ 病死或者死因不明的水产品，畜，禽及其制品，劣质食用油，不合格调味品，工业用盐，非食品原料和滥用食品添加剂，农药残留超标的蔬菜等；</w:t>
            </w:r>
          </w:p>
          <w:p>
            <w:pPr>
              <w:pStyle w:val="null3"/>
              <w:ind w:firstLine="420"/>
              <w:jc w:val="both"/>
            </w:pPr>
            <w:r>
              <w:rPr>
                <w:rFonts w:ascii="仿宋_GB2312" w:hAnsi="仿宋_GB2312" w:cs="仿宋_GB2312" w:eastAsia="仿宋_GB2312"/>
                <w:sz w:val="21"/>
              </w:rPr>
              <w:t>④ 其他不符合食品卫生标准和要求的食品。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3）供应商提供五年内无重大食品安全、人员安全事故声明。</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三、产品质量标准要求</w:t>
            </w:r>
          </w:p>
          <w:tbl>
            <w:tblPr>
              <w:tblInd w:type="dxa" w:w="120"/>
              <w:tblBorders>
                <w:top w:val="none" w:color="000000" w:sz="4"/>
                <w:left w:val="none" w:color="000000" w:sz="4"/>
                <w:bottom w:val="none" w:color="000000" w:sz="4"/>
                <w:right w:val="none" w:color="000000" w:sz="4"/>
                <w:insideH w:val="none"/>
                <w:insideV w:val="none"/>
              </w:tblBorders>
            </w:tblPr>
            <w:tblGrid>
              <w:gridCol w:w="187"/>
              <w:gridCol w:w="373"/>
              <w:gridCol w:w="873"/>
              <w:gridCol w:w="400"/>
              <w:gridCol w:w="720"/>
            </w:tblGrid>
            <w:tr>
              <w:tc>
                <w:tcPr>
                  <w:tcW w:type="dxa" w:w="56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产品种类</w:t>
                  </w:r>
                </w:p>
              </w:tc>
              <w:tc>
                <w:tcPr>
                  <w:tcW w:type="dxa" w:w="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质量标准要求</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退货依据</w:t>
                  </w:r>
                </w:p>
              </w:tc>
              <w:tc>
                <w:tcPr>
                  <w:tcW w:type="dxa" w:w="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国家标准</w:t>
                  </w:r>
                </w:p>
              </w:tc>
            </w:tr>
            <w:tr>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肉类</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猪肉</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1.色泽鲜艳，无注水，表面有一层微干的薄膜，瘦肉新切面稍湿润，呈淡玫瑰色或淡红色；</w:t>
                  </w:r>
                </w:p>
                <w:p>
                  <w:pPr>
                    <w:pStyle w:val="null3"/>
                    <w:jc w:val="both"/>
                  </w:pPr>
                  <w:r>
                    <w:rPr>
                      <w:rFonts w:ascii="仿宋_GB2312" w:hAnsi="仿宋_GB2312" w:cs="仿宋_GB2312" w:eastAsia="仿宋_GB2312"/>
                      <w:sz w:val="21"/>
                    </w:rPr>
                    <w:t>2.触摸有弹性，不粘手，指压不留陷窝；</w:t>
                  </w:r>
                </w:p>
                <w:p>
                  <w:pPr>
                    <w:pStyle w:val="null3"/>
                    <w:jc w:val="both"/>
                  </w:pPr>
                  <w:r>
                    <w:rPr>
                      <w:rFonts w:ascii="仿宋_GB2312" w:hAnsi="仿宋_GB2312" w:cs="仿宋_GB2312" w:eastAsia="仿宋_GB2312"/>
                      <w:sz w:val="21"/>
                    </w:rPr>
                    <w:t>3.外表干净，皮毛清理干净，无异味，根据需要进行了改刀和加工；</w:t>
                  </w:r>
                </w:p>
                <w:p>
                  <w:pPr>
                    <w:pStyle w:val="null3"/>
                    <w:jc w:val="both"/>
                  </w:pPr>
                  <w:r>
                    <w:rPr>
                      <w:rFonts w:ascii="仿宋_GB2312" w:hAnsi="仿宋_GB2312" w:cs="仿宋_GB2312" w:eastAsia="仿宋_GB2312"/>
                      <w:sz w:val="21"/>
                    </w:rPr>
                    <w:t>4.含水量检测值低于77%。</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1.与质量标准要求不符，病死或死因不明的畜禽肉及其制品；</w:t>
                  </w:r>
                </w:p>
                <w:p>
                  <w:pPr>
                    <w:pStyle w:val="null3"/>
                    <w:jc w:val="both"/>
                  </w:pPr>
                  <w:r>
                    <w:rPr>
                      <w:rFonts w:ascii="仿宋_GB2312" w:hAnsi="仿宋_GB2312" w:cs="仿宋_GB2312" w:eastAsia="仿宋_GB2312"/>
                      <w:sz w:val="21"/>
                    </w:rPr>
                    <w:t>2.不符合国家标准要求。</w:t>
                  </w:r>
                </w:p>
              </w:tc>
              <w:tc>
                <w:tcPr>
                  <w:tcW w:type="dxa" w:w="7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2707-2016《食品安全国家标准鲜（冻）畜、禽产品》</w:t>
                  </w: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牛羊肉</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1.肌肉有光泽，色泽鲜红或深红；脂肪呈乳白色或黄色；</w:t>
                  </w:r>
                </w:p>
                <w:p>
                  <w:pPr>
                    <w:pStyle w:val="null3"/>
                    <w:jc w:val="both"/>
                  </w:pPr>
                  <w:r>
                    <w:rPr>
                      <w:rFonts w:ascii="仿宋_GB2312" w:hAnsi="仿宋_GB2312" w:cs="仿宋_GB2312" w:eastAsia="仿宋_GB2312"/>
                      <w:sz w:val="21"/>
                    </w:rPr>
                    <w:t>2.外表微干有风干膜，不粘手；</w:t>
                  </w:r>
                </w:p>
                <w:p>
                  <w:pPr>
                    <w:pStyle w:val="null3"/>
                    <w:jc w:val="both"/>
                  </w:pPr>
                  <w:r>
                    <w:rPr>
                      <w:rFonts w:ascii="仿宋_GB2312" w:hAnsi="仿宋_GB2312" w:cs="仿宋_GB2312" w:eastAsia="仿宋_GB2312"/>
                      <w:sz w:val="21"/>
                    </w:rPr>
                    <w:t>3.具有鲜牛羊肉正常气味；</w:t>
                  </w:r>
                </w:p>
                <w:p>
                  <w:pPr>
                    <w:pStyle w:val="null3"/>
                    <w:jc w:val="both"/>
                  </w:pPr>
                  <w:r>
                    <w:rPr>
                      <w:rFonts w:ascii="仿宋_GB2312" w:hAnsi="仿宋_GB2312" w:cs="仿宋_GB2312" w:eastAsia="仿宋_GB2312"/>
                      <w:sz w:val="21"/>
                    </w:rPr>
                    <w:t>4.牛肉、羊肉含水量检测值分别低于77%、78%。</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1.与质量标准要求不符，病死或死因不明的畜禽肉及其制品；</w:t>
                  </w:r>
                </w:p>
                <w:p>
                  <w:pPr>
                    <w:pStyle w:val="null3"/>
                    <w:jc w:val="both"/>
                  </w:pPr>
                  <w:r>
                    <w:rPr>
                      <w:rFonts w:ascii="仿宋_GB2312" w:hAnsi="仿宋_GB2312" w:cs="仿宋_GB2312" w:eastAsia="仿宋_GB2312"/>
                      <w:sz w:val="21"/>
                    </w:rPr>
                    <w:t>2.不符合国家标准要求。</w:t>
                  </w:r>
                </w:p>
              </w:tc>
              <w:tc>
                <w:tcPr>
                  <w:tcW w:type="dxa" w:w="720"/>
                  <w:vMerge/>
                  <w:tcBorders>
                    <w:top w:val="single" w:color="000000" w:sz="4"/>
                    <w:left w:val="none" w:color="000000" w:sz="4"/>
                    <w:bottom w:val="single" w:color="000000" w:sz="4"/>
                    <w:right w:val="single" w:color="000000" w:sz="4"/>
                  </w:tcBorders>
                </w:tcP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禽肉</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1.杜绝注水禽类；</w:t>
                  </w:r>
                </w:p>
                <w:p>
                  <w:pPr>
                    <w:pStyle w:val="null3"/>
                    <w:jc w:val="both"/>
                  </w:pPr>
                  <w:r>
                    <w:rPr>
                      <w:rFonts w:ascii="仿宋_GB2312" w:hAnsi="仿宋_GB2312" w:cs="仿宋_GB2312" w:eastAsia="仿宋_GB2312"/>
                      <w:sz w:val="21"/>
                    </w:rPr>
                    <w:t>2.体表色泽洁白，肉质紧密，角膜有弹性，不粘手，指压不留陷窝；</w:t>
                  </w:r>
                </w:p>
                <w:p>
                  <w:pPr>
                    <w:pStyle w:val="null3"/>
                    <w:jc w:val="both"/>
                  </w:pPr>
                  <w:r>
                    <w:rPr>
                      <w:rFonts w:ascii="仿宋_GB2312" w:hAnsi="仿宋_GB2312" w:cs="仿宋_GB2312" w:eastAsia="仿宋_GB2312"/>
                      <w:sz w:val="21"/>
                    </w:rPr>
                    <w:t>3.具有该禽类所固有的气味，无其他异味；</w:t>
                  </w:r>
                </w:p>
                <w:p>
                  <w:pPr>
                    <w:pStyle w:val="null3"/>
                    <w:jc w:val="both"/>
                  </w:pPr>
                  <w:r>
                    <w:rPr>
                      <w:rFonts w:ascii="仿宋_GB2312" w:hAnsi="仿宋_GB2312" w:cs="仿宋_GB2312" w:eastAsia="仿宋_GB2312"/>
                      <w:sz w:val="21"/>
                    </w:rPr>
                    <w:t>4.腔内无杂物。</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1.与质量标准要求不符，病死或死因不明的畜禽肉及其制品；</w:t>
                  </w:r>
                </w:p>
                <w:p>
                  <w:pPr>
                    <w:pStyle w:val="null3"/>
                    <w:jc w:val="both"/>
                  </w:pPr>
                  <w:r>
                    <w:rPr>
                      <w:rFonts w:ascii="仿宋_GB2312" w:hAnsi="仿宋_GB2312" w:cs="仿宋_GB2312" w:eastAsia="仿宋_GB2312"/>
                      <w:sz w:val="21"/>
                    </w:rPr>
                    <w:t>2.不符合国家标准要求。</w:t>
                  </w:r>
                </w:p>
              </w:tc>
              <w:tc>
                <w:tcPr>
                  <w:tcW w:type="dxa" w:w="720"/>
                  <w:vMerge/>
                  <w:tcBorders>
                    <w:top w:val="single" w:color="000000" w:sz="4"/>
                    <w:left w:val="none" w:color="000000" w:sz="4"/>
                    <w:bottom w:val="single" w:color="000000" w:sz="4"/>
                    <w:right w:val="single" w:color="000000" w:sz="4"/>
                  </w:tcBorders>
                </w:tc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水产类</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鱼类</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1.鱼眼突出，角膜清晰透明；</w:t>
                  </w:r>
                </w:p>
                <w:p>
                  <w:pPr>
                    <w:pStyle w:val="null3"/>
                    <w:jc w:val="both"/>
                  </w:pPr>
                  <w:r>
                    <w:rPr>
                      <w:rFonts w:ascii="仿宋_GB2312" w:hAnsi="仿宋_GB2312" w:cs="仿宋_GB2312" w:eastAsia="仿宋_GB2312"/>
                      <w:sz w:val="21"/>
                    </w:rPr>
                    <w:t>2.体表面色泽鲜明，鳞完整或稍有花鳞，鳞片紧粘皮上不易剥落，有透明粘液；</w:t>
                  </w:r>
                </w:p>
                <w:p>
                  <w:pPr>
                    <w:pStyle w:val="null3"/>
                    <w:jc w:val="both"/>
                  </w:pPr>
                  <w:r>
                    <w:rPr>
                      <w:rFonts w:ascii="仿宋_GB2312" w:hAnsi="仿宋_GB2312" w:cs="仿宋_GB2312" w:eastAsia="仿宋_GB2312"/>
                      <w:sz w:val="21"/>
                    </w:rPr>
                    <w:t>3.鳃鲜红，鳃丝鲜红或紫红，鳃盖禁闭易揭开，肉质坚实，有弹性，骨肉不分离；</w:t>
                  </w:r>
                </w:p>
                <w:p>
                  <w:pPr>
                    <w:pStyle w:val="null3"/>
                    <w:jc w:val="both"/>
                  </w:pPr>
                  <w:r>
                    <w:rPr>
                      <w:rFonts w:ascii="仿宋_GB2312" w:hAnsi="仿宋_GB2312" w:cs="仿宋_GB2312" w:eastAsia="仿宋_GB2312"/>
                      <w:sz w:val="21"/>
                    </w:rPr>
                    <w:t>4.淡水鱼实行活鱼供应，具有鲜鱼固有的鲜明色泽，粘度透明；</w:t>
                  </w:r>
                </w:p>
                <w:p>
                  <w:pPr>
                    <w:pStyle w:val="null3"/>
                    <w:jc w:val="both"/>
                  </w:pPr>
                  <w:r>
                    <w:rPr>
                      <w:rFonts w:ascii="仿宋_GB2312" w:hAnsi="仿宋_GB2312" w:cs="仿宋_GB2312" w:eastAsia="仿宋_GB2312"/>
                      <w:sz w:val="21"/>
                    </w:rPr>
                    <w:t>5.具有鲜鱼虾的正常腥味，无异臭味。</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1.与质量标准要求不符；</w:t>
                  </w:r>
                </w:p>
                <w:p>
                  <w:pPr>
                    <w:pStyle w:val="null3"/>
                    <w:jc w:val="both"/>
                  </w:pPr>
                  <w:r>
                    <w:rPr>
                      <w:rFonts w:ascii="仿宋_GB2312" w:hAnsi="仿宋_GB2312" w:cs="仿宋_GB2312" w:eastAsia="仿宋_GB2312"/>
                      <w:sz w:val="21"/>
                    </w:rPr>
                    <w:t>2.不符合国家标准要求。</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GB 20941-2016《食品安全国家标准水产制品生产卫生规范》</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果蔬类</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叶菜</w:t>
                  </w:r>
                </w:p>
                <w:p>
                  <w:pPr>
                    <w:pStyle w:val="null3"/>
                    <w:jc w:val="center"/>
                  </w:pPr>
                  <w:r>
                    <w:rPr>
                      <w:rFonts w:ascii="仿宋_GB2312" w:hAnsi="仿宋_GB2312" w:cs="仿宋_GB2312" w:eastAsia="仿宋_GB2312"/>
                      <w:sz w:val="21"/>
                    </w:rPr>
                    <w:t>（白菜、菠菜、空心菜、筒篙、芹菜等）</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1.外形正常，肉质鲜嫩形态好，色泽正常；</w:t>
                  </w:r>
                </w:p>
                <w:p>
                  <w:pPr>
                    <w:pStyle w:val="null3"/>
                    <w:jc w:val="both"/>
                  </w:pPr>
                  <w:r>
                    <w:rPr>
                      <w:rFonts w:ascii="仿宋_GB2312" w:hAnsi="仿宋_GB2312" w:cs="仿宋_GB2312" w:eastAsia="仿宋_GB2312"/>
                      <w:sz w:val="21"/>
                    </w:rPr>
                    <w:t>2.叶梗光滑幼嫩，茎基部削平，无枯黄叶、病叶、泥土、明显机械伤和病虫害伤，无烧心焦边、腐烂等现象；</w:t>
                  </w:r>
                </w:p>
                <w:p>
                  <w:pPr>
                    <w:pStyle w:val="null3"/>
                    <w:jc w:val="both"/>
                  </w:pPr>
                  <w:r>
                    <w:rPr>
                      <w:rFonts w:ascii="仿宋_GB2312" w:hAnsi="仿宋_GB2312" w:cs="仿宋_GB2312" w:eastAsia="仿宋_GB2312"/>
                      <w:sz w:val="21"/>
                    </w:rPr>
                    <w:t>3.无抽苔（菜心除外），无异味，结球叶菜要结球适度，花椰菜应新鲜洁白，不带叶鼓，无畸形花；</w:t>
                  </w:r>
                </w:p>
                <w:p>
                  <w:pPr>
                    <w:pStyle w:val="null3"/>
                    <w:jc w:val="both"/>
                  </w:pPr>
                  <w:r>
                    <w:rPr>
                      <w:rFonts w:ascii="仿宋_GB2312" w:hAnsi="仿宋_GB2312" w:cs="仿宋_GB2312" w:eastAsia="仿宋_GB2312"/>
                      <w:sz w:val="21"/>
                    </w:rPr>
                    <w:t>4.无明显浸水现象；</w:t>
                  </w:r>
                </w:p>
                <w:p>
                  <w:pPr>
                    <w:pStyle w:val="null3"/>
                    <w:jc w:val="both"/>
                  </w:pPr>
                  <w:r>
                    <w:rPr>
                      <w:rFonts w:ascii="仿宋_GB2312" w:hAnsi="仿宋_GB2312" w:cs="仿宋_GB2312" w:eastAsia="仿宋_GB2312"/>
                      <w:sz w:val="21"/>
                    </w:rPr>
                    <w:t>5.农药残留不超标。</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鲜度嫩度明显不佳，含黄叶、须根、泥土，虫害严重，萎捏严重，浸水后仍不可恢复，农药残留超标。</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国家或行业相关标准</w:t>
                  </w:r>
                </w:p>
              </w:tc>
            </w:tr>
            <w:tr>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果蔬类</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果蔬类</w:t>
                  </w:r>
                </w:p>
                <w:p>
                  <w:pPr>
                    <w:pStyle w:val="null3"/>
                    <w:jc w:val="center"/>
                  </w:pPr>
                  <w:r>
                    <w:rPr>
                      <w:rFonts w:ascii="仿宋_GB2312" w:hAnsi="仿宋_GB2312" w:cs="仿宋_GB2312" w:eastAsia="仿宋_GB2312"/>
                      <w:sz w:val="21"/>
                    </w:rPr>
                    <w:t>（番茄、黄瓜、茄子、辣椒等）</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果实整洁，成熟度适中，无裂果及空洞现象，茄果不能有裂蒂及果皮变硬现象，无虫害，无疤点，无断裂，无腐烂、异味，不带泥土，无明显机械伤，农药残留不超标。</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与质量标准要求不符，部分产品浸水后仍不可恢复，与招标人自购标准存在较大负偏差，农药残留超标。</w:t>
                  </w:r>
                </w:p>
              </w:tc>
              <w:tc>
                <w:tcPr>
                  <w:tcW w:type="dxa" w:w="7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国家或行业相关标准</w:t>
                  </w: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根茎类</w:t>
                  </w:r>
                </w:p>
                <w:p>
                  <w:pPr>
                    <w:pStyle w:val="null3"/>
                    <w:jc w:val="center"/>
                  </w:pPr>
                  <w:r>
                    <w:rPr>
                      <w:rFonts w:ascii="仿宋_GB2312" w:hAnsi="仿宋_GB2312" w:cs="仿宋_GB2312" w:eastAsia="仿宋_GB2312"/>
                      <w:sz w:val="21"/>
                    </w:rPr>
                    <w:t>（萝卜、土豆等）</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无虫咬、发芽、发霉现象，表皮细致光滑，肉质脆嫩致密新鲜，无腐烂、裂痕、糠心、异味，不带泥沙，不带茎叶和须根。</w:t>
                  </w: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与质量标准要求不符，部分产品浸水后仍不可恢复，与招标人自购标准存在较大负偏差。</w:t>
                  </w:r>
                </w:p>
              </w:tc>
              <w:tc>
                <w:tcPr>
                  <w:tcW w:type="dxa" w:w="720"/>
                  <w:vMerge/>
                  <w:tcBorders>
                    <w:top w:val="none" w:color="000000" w:sz="4"/>
                    <w:left w:val="none" w:color="000000" w:sz="4"/>
                    <w:bottom w:val="single" w:color="000000" w:sz="4"/>
                    <w:right w:val="single" w:color="000000" w:sz="4"/>
                  </w:tcBorders>
                </w:tcP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葱蒜类</w:t>
                  </w:r>
                </w:p>
                <w:p>
                  <w:pPr>
                    <w:pStyle w:val="null3"/>
                    <w:jc w:val="center"/>
                  </w:pPr>
                  <w:r>
                    <w:rPr>
                      <w:rFonts w:ascii="仿宋_GB2312" w:hAnsi="仿宋_GB2312" w:cs="仿宋_GB2312" w:eastAsia="仿宋_GB2312"/>
                      <w:sz w:val="21"/>
                    </w:rPr>
                    <w:t>（葱、蒜、韭菜、洋葱等）</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允许葱、青蒜类保留干净须根，葱、蒜、韭菜不带老叶，蒜头、洋葱去根去枯叶，可食部分新鲜幼嫩，无腐烂、异味。</w:t>
                  </w:r>
                </w:p>
              </w:tc>
              <w:tc>
                <w:tcPr>
                  <w:tcW w:type="dxa" w:w="400"/>
                  <w:vMerge/>
                  <w:tcBorders>
                    <w:top w:val="none" w:color="000000" w:sz="4"/>
                    <w:left w:val="none" w:color="000000" w:sz="4"/>
                    <w:bottom w:val="single" w:color="000000" w:sz="4"/>
                    <w:right w:val="single" w:color="000000" w:sz="4"/>
                  </w:tcBorders>
                </w:tcPr>
                <w:p/>
              </w:tc>
              <w:tc>
                <w:tcPr>
                  <w:tcW w:type="dxa" w:w="720"/>
                  <w:vMerge/>
                  <w:tcBorders>
                    <w:top w:val="none" w:color="000000" w:sz="4"/>
                    <w:left w:val="none" w:color="000000" w:sz="4"/>
                    <w:bottom w:val="single" w:color="000000" w:sz="4"/>
                    <w:right w:val="single" w:color="000000" w:sz="4"/>
                  </w:tcBorders>
                </w:tcP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水生菜类</w:t>
                  </w:r>
                </w:p>
                <w:p>
                  <w:pPr>
                    <w:pStyle w:val="null3"/>
                    <w:jc w:val="center"/>
                  </w:pPr>
                  <w:r>
                    <w:rPr>
                      <w:rFonts w:ascii="仿宋_GB2312" w:hAnsi="仿宋_GB2312" w:cs="仿宋_GB2312" w:eastAsia="仿宋_GB2312"/>
                      <w:sz w:val="21"/>
                    </w:rPr>
                    <w:t>（藕、菱白等）</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肉质嫩，成熟度适中，无腐烂、异味，无明显机械伤，不带泥土和杂质，不干瘪，菱白不黑心。</w:t>
                  </w:r>
                </w:p>
              </w:tc>
              <w:tc>
                <w:tcPr>
                  <w:tcW w:type="dxa" w:w="400"/>
                  <w:vMerge/>
                  <w:tcBorders>
                    <w:top w:val="none" w:color="000000" w:sz="4"/>
                    <w:left w:val="none" w:color="000000" w:sz="4"/>
                    <w:bottom w:val="single" w:color="000000" w:sz="4"/>
                    <w:right w:val="single" w:color="000000" w:sz="4"/>
                  </w:tcBorders>
                </w:tcPr>
                <w:p/>
              </w:tc>
              <w:tc>
                <w:tcPr>
                  <w:tcW w:type="dxa" w:w="720"/>
                  <w:vMerge/>
                  <w:tcBorders>
                    <w:top w:val="none" w:color="000000" w:sz="4"/>
                    <w:left w:val="none" w:color="000000" w:sz="4"/>
                    <w:bottom w:val="single" w:color="000000" w:sz="4"/>
                    <w:right w:val="single" w:color="000000" w:sz="4"/>
                  </w:tcBorders>
                </w:tcP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芽苗类</w:t>
                  </w:r>
                </w:p>
                <w:p>
                  <w:pPr>
                    <w:pStyle w:val="null3"/>
                    <w:jc w:val="center"/>
                  </w:pPr>
                  <w:r>
                    <w:rPr>
                      <w:rFonts w:ascii="仿宋_GB2312" w:hAnsi="仿宋_GB2312" w:cs="仿宋_GB2312" w:eastAsia="仿宋_GB2312"/>
                      <w:sz w:val="21"/>
                    </w:rPr>
                    <w:t>（豆芽、香椿苗等）</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芽苗幼嫩，不带豆壳杂质，新鲜，不浸水，无腐烂、异味。</w:t>
                  </w:r>
                </w:p>
              </w:tc>
              <w:tc>
                <w:tcPr>
                  <w:tcW w:type="dxa" w:w="400"/>
                  <w:vMerge/>
                  <w:tcBorders>
                    <w:top w:val="none" w:color="000000" w:sz="4"/>
                    <w:left w:val="none" w:color="000000" w:sz="4"/>
                    <w:bottom w:val="single" w:color="000000" w:sz="4"/>
                    <w:right w:val="single" w:color="000000" w:sz="4"/>
                  </w:tcBorders>
                </w:tcPr>
                <w:p/>
              </w:tc>
              <w:tc>
                <w:tcPr>
                  <w:tcW w:type="dxa" w:w="720"/>
                  <w:vMerge/>
                  <w:tcBorders>
                    <w:top w:val="none" w:color="000000" w:sz="4"/>
                    <w:left w:val="none" w:color="000000" w:sz="4"/>
                    <w:bottom w:val="single" w:color="000000" w:sz="4"/>
                    <w:right w:val="single" w:color="000000" w:sz="4"/>
                  </w:tcBorders>
                </w:tcP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水果类</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产品新鲜，有水果应有的颜色；发育充分，无刀伤，无腐烂部位，无农药气味，无臭味；农药残留不超标；成箱包装的品相大小保持一致。</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产品腐烂变质，表皮变皱却水分，发育不充分，未完全成熟，品相大小差距比较大，农药残留超标。</w:t>
                  </w:r>
                </w:p>
              </w:tc>
              <w:tc>
                <w:tcPr>
                  <w:tcW w:type="dxa" w:w="720"/>
                  <w:vMerge/>
                  <w:tcBorders>
                    <w:top w:val="none" w:color="000000" w:sz="4"/>
                    <w:left w:val="none" w:color="000000" w:sz="4"/>
                    <w:bottom w:val="single" w:color="000000" w:sz="4"/>
                    <w:right w:val="single" w:color="000000" w:sz="4"/>
                  </w:tcBorders>
                </w:tcPr>
                <w:p/>
              </w:tc>
            </w:tr>
            <w:tr>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蛋奶</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鸡蛋</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蛋壳清洁完整，色泽鲜明，无破损、裂纹，无霉斑，灯光透视时，整个蛋呈桔黄色至橙红色，蛋黄不见或略见阴影，没有霉味、酸味，臭味等不良气味，打开后蛋黄凸起、完整、有韧性，蛋白澄清、透明、稀稠分明，无异味。</w:t>
                  </w: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蛋壳破损严重，有霉斑，散发霉臭味，与质量标准要求较多不符。</w:t>
                  </w:r>
                </w:p>
              </w:tc>
              <w:tc>
                <w:tcPr>
                  <w:tcW w:type="dxa" w:w="7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国家或行业相关标准</w:t>
                  </w: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皮蛋</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外表泥状包料完整、无霉斑，包料除掉后蛋壳亦完整无损，灯光透照蛋内容物凝固不动，打开观察，整个蛋凝固、不粘壳、清洁而有弹性，呈半透明的棕黄色，闻起来有芳香，无辛辣气。</w:t>
                  </w:r>
                </w:p>
              </w:tc>
              <w:tc>
                <w:tcPr>
                  <w:tcW w:type="dxa" w:w="400"/>
                  <w:vMerge/>
                  <w:tcBorders>
                    <w:top w:val="none" w:color="000000" w:sz="4"/>
                    <w:left w:val="none" w:color="000000" w:sz="4"/>
                    <w:bottom w:val="single" w:color="000000" w:sz="4"/>
                    <w:right w:val="single" w:color="000000" w:sz="4"/>
                  </w:tcBorders>
                </w:tcPr>
                <w:p/>
              </w:tc>
              <w:tc>
                <w:tcPr>
                  <w:tcW w:type="dxa" w:w="720"/>
                  <w:vMerge/>
                  <w:tcBorders>
                    <w:top w:val="none" w:color="000000" w:sz="4"/>
                    <w:left w:val="none" w:color="000000" w:sz="4"/>
                    <w:bottom w:val="single" w:color="000000" w:sz="4"/>
                    <w:right w:val="single" w:color="000000" w:sz="4"/>
                  </w:tcBorders>
                </w:tcP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咸蛋</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c>
                <w:tcPr>
                  <w:tcW w:type="dxa" w:w="400"/>
                  <w:vMerge/>
                  <w:tcBorders>
                    <w:top w:val="none" w:color="000000" w:sz="4"/>
                    <w:left w:val="none" w:color="000000" w:sz="4"/>
                    <w:bottom w:val="single" w:color="000000" w:sz="4"/>
                    <w:right w:val="single" w:color="000000" w:sz="4"/>
                  </w:tcBorders>
                </w:tcPr>
                <w:p/>
              </w:tc>
              <w:tc>
                <w:tcPr>
                  <w:tcW w:type="dxa" w:w="720"/>
                  <w:vMerge/>
                  <w:tcBorders>
                    <w:top w:val="none" w:color="000000" w:sz="4"/>
                    <w:left w:val="none" w:color="000000" w:sz="4"/>
                    <w:bottom w:val="single" w:color="000000" w:sz="4"/>
                    <w:right w:val="single" w:color="000000" w:sz="4"/>
                  </w:tcBorders>
                </w:tcPr>
                <w:p/>
              </w:tc>
            </w:tr>
            <w:tr>
              <w:tc>
                <w:tcPr>
                  <w:tcW w:type="dxa" w:w="187"/>
                  <w:vMerge/>
                  <w:tcBorders>
                    <w:top w:val="none" w:color="000000" w:sz="4"/>
                    <w:left w:val="single" w:color="000000" w:sz="4"/>
                    <w:bottom w:val="single" w:color="000000" w:sz="4"/>
                    <w:right w:val="single" w:color="000000" w:sz="4"/>
                  </w:tcBorders>
                </w:tc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牛奶</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品牌袋装奶，距出厂日期</w:t>
                  </w:r>
                  <w:r>
                    <w:rPr>
                      <w:rFonts w:ascii="仿宋_GB2312" w:hAnsi="仿宋_GB2312" w:cs="仿宋_GB2312" w:eastAsia="仿宋_GB2312"/>
                      <w:sz w:val="21"/>
                    </w:rPr>
                    <w:t>10天以内且按照厂家要求保存条件储存未超出保质期，色泽乳白，有纯奶的鲜香味。</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与质量标准要求不符</w:t>
                  </w:r>
                </w:p>
              </w:tc>
              <w:tc>
                <w:tcPr>
                  <w:tcW w:type="dxa" w:w="720"/>
                  <w:vMerge/>
                  <w:tcBorders>
                    <w:top w:val="none" w:color="000000" w:sz="4"/>
                    <w:left w:val="none" w:color="000000" w:sz="4"/>
                    <w:bottom w:val="single" w:color="000000" w:sz="4"/>
                    <w:right w:val="single" w:color="000000" w:sz="4"/>
                  </w:tcBorders>
                </w:tc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豆制品</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豆腐</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豆腐呈均匀的乳白色或淡黄色，稍有光泽，块形完整，软硬适度，富有一定的弹性，质地细嫩，结构均匀，无杂质，具有豆腐特有的香味，取样品品尝时口感细腻鲜嫩，味道纯正清香。</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与质量标准要求较多不符</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国家或行业相关标准</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调料</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调料</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1.无霉变和虫蛀鼠咬现象；</w:t>
                  </w:r>
                </w:p>
                <w:p>
                  <w:pPr>
                    <w:pStyle w:val="null3"/>
                    <w:jc w:val="both"/>
                  </w:pPr>
                  <w:r>
                    <w:rPr>
                      <w:rFonts w:ascii="仿宋_GB2312" w:hAnsi="仿宋_GB2312" w:cs="仿宋_GB2312" w:eastAsia="仿宋_GB2312"/>
                      <w:sz w:val="21"/>
                    </w:rPr>
                    <w:t>2.无臭味，货品新鲜，色泽正常；</w:t>
                  </w:r>
                </w:p>
                <w:p>
                  <w:pPr>
                    <w:pStyle w:val="null3"/>
                    <w:jc w:val="both"/>
                  </w:pPr>
                  <w:r>
                    <w:rPr>
                      <w:rFonts w:ascii="仿宋_GB2312" w:hAnsi="仿宋_GB2312" w:cs="仿宋_GB2312" w:eastAsia="仿宋_GB2312"/>
                      <w:sz w:val="21"/>
                    </w:rPr>
                    <w:t>3.无“三无”产品，货品在保质期以内，外包装清洁卫生、无破损，包装上的商品名称、厂址、规格、生产日期、质保期等信息与内容物相符，标示清晰，批次号清楚等；</w:t>
                  </w:r>
                </w:p>
                <w:p>
                  <w:pPr>
                    <w:pStyle w:val="null3"/>
                    <w:jc w:val="both"/>
                  </w:pPr>
                  <w:r>
                    <w:rPr>
                      <w:rFonts w:ascii="仿宋_GB2312" w:hAnsi="仿宋_GB2312" w:cs="仿宋_GB2312" w:eastAsia="仿宋_GB2312"/>
                      <w:sz w:val="21"/>
                    </w:rPr>
                    <w:t>4.经食品检验检疫合格，调料成分符合国家卫生标准。</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1.不符合质量标准要求，无“QS”食品安全认证的产品；</w:t>
                  </w:r>
                </w:p>
                <w:p>
                  <w:pPr>
                    <w:pStyle w:val="null3"/>
                    <w:jc w:val="both"/>
                  </w:pPr>
                  <w:r>
                    <w:rPr>
                      <w:rFonts w:ascii="仿宋_GB2312" w:hAnsi="仿宋_GB2312" w:cs="仿宋_GB2312" w:eastAsia="仿宋_GB2312"/>
                      <w:sz w:val="21"/>
                    </w:rPr>
                    <w:t>2.无品名、产地、厂名、生产日期、质保期及中文标识、原料说明的定型包装食品；</w:t>
                  </w:r>
                </w:p>
                <w:p>
                  <w:pPr>
                    <w:pStyle w:val="null3"/>
                    <w:jc w:val="both"/>
                  </w:pPr>
                  <w:r>
                    <w:rPr>
                      <w:rFonts w:ascii="仿宋_GB2312" w:hAnsi="仿宋_GB2312" w:cs="仿宋_GB2312" w:eastAsia="仿宋_GB2312"/>
                      <w:sz w:val="21"/>
                    </w:rPr>
                    <w:t>3.超过质保期或不符合食品标签规定的定型包装食品；</w:t>
                  </w:r>
                </w:p>
                <w:p>
                  <w:pPr>
                    <w:pStyle w:val="null3"/>
                    <w:jc w:val="both"/>
                  </w:pPr>
                  <w:r>
                    <w:rPr>
                      <w:rFonts w:ascii="仿宋_GB2312" w:hAnsi="仿宋_GB2312" w:cs="仿宋_GB2312" w:eastAsia="仿宋_GB2312"/>
                      <w:sz w:val="21"/>
                    </w:rPr>
                    <w:t>4.腐败变质，油脂酸败，霉变，生虫，污秽不洁，混有异味或者其他感官性状异常，含有毒或有害物质污染，可能对人体健康有害的食品。</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国家或行业相关标准</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粮油类</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粮油类</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油：</w:t>
                  </w:r>
                  <w:r>
                    <w:rPr>
                      <w:rFonts w:ascii="仿宋_GB2312" w:hAnsi="仿宋_GB2312" w:cs="仿宋_GB2312" w:eastAsia="仿宋_GB2312"/>
                      <w:sz w:val="21"/>
                    </w:rPr>
                    <w:t>必须符合</w:t>
                  </w:r>
                  <w:r>
                    <w:rPr>
                      <w:rFonts w:ascii="仿宋_GB2312" w:hAnsi="仿宋_GB2312" w:cs="仿宋_GB2312" w:eastAsia="仿宋_GB2312"/>
                      <w:sz w:val="21"/>
                    </w:rPr>
                    <w:t>GB1536标准，拥有食品生产许可证，质量等级一级；有合格检疫报告，外观的色泽、透明度、气味滋味等无异常；定型包装</w:t>
                  </w:r>
                </w:p>
                <w:p>
                  <w:pPr>
                    <w:pStyle w:val="null3"/>
                    <w:jc w:val="both"/>
                  </w:pPr>
                  <w:r>
                    <w:rPr>
                      <w:rFonts w:ascii="仿宋_GB2312" w:hAnsi="仿宋_GB2312" w:cs="仿宋_GB2312" w:eastAsia="仿宋_GB2312"/>
                      <w:sz w:val="21"/>
                    </w:rPr>
                    <w:t>米：</w:t>
                  </w:r>
                  <w:r>
                    <w:rPr>
                      <w:rFonts w:ascii="仿宋_GB2312" w:hAnsi="仿宋_GB2312" w:cs="仿宋_GB2312" w:eastAsia="仿宋_GB2312"/>
                      <w:sz w:val="21"/>
                    </w:rPr>
                    <w:t>必须符合</w:t>
                  </w:r>
                  <w:r>
                    <w:rPr>
                      <w:rFonts w:ascii="仿宋_GB2312" w:hAnsi="仿宋_GB2312" w:cs="仿宋_GB2312" w:eastAsia="仿宋_GB2312"/>
                      <w:sz w:val="21"/>
                    </w:rPr>
                    <w:t>GB1354标准，拥有食品生产许可证，水分含量在12°以下，无掺杂、无沙石，碎米少，无黄粒米</w:t>
                  </w:r>
                </w:p>
                <w:p>
                  <w:pPr>
                    <w:pStyle w:val="null3"/>
                    <w:jc w:val="both"/>
                  </w:pPr>
                  <w:r>
                    <w:rPr>
                      <w:rFonts w:ascii="仿宋_GB2312" w:hAnsi="仿宋_GB2312" w:cs="仿宋_GB2312" w:eastAsia="仿宋_GB2312"/>
                      <w:sz w:val="21"/>
                    </w:rPr>
                    <w:t>面：</w:t>
                  </w:r>
                  <w:r>
                    <w:rPr>
                      <w:rFonts w:ascii="仿宋_GB2312" w:hAnsi="仿宋_GB2312" w:cs="仿宋_GB2312" w:eastAsia="仿宋_GB2312"/>
                      <w:sz w:val="21"/>
                    </w:rPr>
                    <w:t>高筋面粉达</w:t>
                  </w:r>
                  <w:r>
                    <w:rPr>
                      <w:rFonts w:ascii="仿宋_GB2312" w:hAnsi="仿宋_GB2312" w:cs="仿宋_GB2312" w:eastAsia="仿宋_GB2312"/>
                      <w:sz w:val="21"/>
                    </w:rPr>
                    <w:t>GB8607国家标准，质量等级一级；低筋面粉达Q/JHMF01标准，质量等级一级；色泽正常，干爽无异味；包装袋上有注册商标及QS标注，有检验合格证、生产日期和保质期</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与质量标准要求不符</w:t>
                  </w:r>
                </w:p>
              </w:tc>
              <w:tc>
                <w:tcPr>
                  <w:tcW w:type="dxa" w:w="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国家或行业相关标准</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四、服务要求</w:t>
            </w:r>
          </w:p>
          <w:p>
            <w:pPr>
              <w:pStyle w:val="null3"/>
              <w:ind w:firstLine="420"/>
              <w:jc w:val="both"/>
            </w:pPr>
            <w:r>
              <w:rPr>
                <w:rFonts w:ascii="仿宋_GB2312" w:hAnsi="仿宋_GB2312" w:cs="仿宋_GB2312" w:eastAsia="仿宋_GB2312"/>
                <w:sz w:val="21"/>
              </w:rPr>
              <w:t>1.须有冷链配送服务，鲜活物品保证在送达指定地点后依旧新鲜。</w:t>
            </w:r>
          </w:p>
          <w:p>
            <w:pPr>
              <w:pStyle w:val="null3"/>
              <w:ind w:firstLine="420"/>
              <w:jc w:val="both"/>
            </w:pPr>
            <w:r>
              <w:rPr>
                <w:rFonts w:ascii="仿宋_GB2312" w:hAnsi="仿宋_GB2312" w:cs="仿宋_GB2312" w:eastAsia="仿宋_GB2312"/>
                <w:sz w:val="21"/>
              </w:rPr>
              <w:t>2.甲方提前1日向乙方提出配送计划，乙方按配送计划组织货源。并按照甲方指定地点送货，在接到甲方通知后次日内早晨7点30分前按照食材原料配送计划现场实物验收品种，数量，质量完成送货。由乙方自行组织运输，运费由乙方承担，并提供本批次货物的货物清单（含货物种类、数量、价格等）。</w:t>
            </w:r>
          </w:p>
          <w:p>
            <w:pPr>
              <w:pStyle w:val="null3"/>
              <w:ind w:firstLine="420"/>
              <w:jc w:val="both"/>
            </w:pPr>
            <w:r>
              <w:rPr>
                <w:rFonts w:ascii="仿宋_GB2312" w:hAnsi="仿宋_GB2312" w:cs="仿宋_GB2312" w:eastAsia="仿宋_GB2312"/>
                <w:sz w:val="21"/>
              </w:rPr>
              <w:t>3.成交供应商提供的产品若出现不合格产品或在运输途中出现破损的，应在接到采购人通知后12小时内响应并进行处理。</w:t>
            </w:r>
          </w:p>
          <w:p>
            <w:pPr>
              <w:pStyle w:val="null3"/>
              <w:ind w:firstLine="420"/>
              <w:jc w:val="both"/>
            </w:pPr>
            <w:r>
              <w:rPr>
                <w:rFonts w:ascii="仿宋_GB2312" w:hAnsi="仿宋_GB2312" w:cs="仿宋_GB2312" w:eastAsia="仿宋_GB2312"/>
                <w:sz w:val="21"/>
              </w:rPr>
              <w:t>4.成交供应商必须将所报项目的服务人员在采购人相关科室备案，保证采购人在有供货需求时能顺利联系到服务人员。</w:t>
            </w:r>
          </w:p>
          <w:p>
            <w:pPr>
              <w:pStyle w:val="null3"/>
              <w:ind w:firstLine="420"/>
              <w:jc w:val="both"/>
            </w:pPr>
            <w:r>
              <w:rPr>
                <w:rFonts w:ascii="仿宋_GB2312" w:hAnsi="仿宋_GB2312" w:cs="仿宋_GB2312" w:eastAsia="仿宋_GB2312"/>
                <w:sz w:val="21"/>
              </w:rPr>
              <w:t>5.成交供应商提供的产品必须是通过正规渠道采购，若发现成交供应商提供的产品属于假货，采购人有权进行处罚并终止合同。</w:t>
            </w:r>
          </w:p>
          <w:p>
            <w:pPr>
              <w:pStyle w:val="null3"/>
              <w:jc w:val="both"/>
            </w:pPr>
            <w:r>
              <w:rPr>
                <w:rFonts w:ascii="仿宋_GB2312" w:hAnsi="仿宋_GB2312" w:cs="仿宋_GB2312" w:eastAsia="仿宋_GB2312"/>
                <w:sz w:val="21"/>
              </w:rPr>
              <w:t>6.成交供应商供货应及时，若出现一次供货不及时的情况，采购人发出警告并有权要求进行公对公赔偿，若出现两次及两次以上供货不及时的情况，采购人有权单方面解除合同。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五、服务期：</w:t>
            </w:r>
            <w:r>
              <w:rPr>
                <w:rFonts w:ascii="仿宋_GB2312" w:hAnsi="仿宋_GB2312" w:cs="仿宋_GB2312" w:eastAsia="仿宋_GB2312"/>
                <w:sz w:val="21"/>
              </w:rPr>
              <w:t>自合同签订之日起一年。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配备项目负责人、配送员、司机等满足本项目需求的人员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有符合完成本项目服务内容的运输车辆等设备设施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按照合同内约定执行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1、付款前，供应商必须开具全额发票给采购人（附详细供货清单）。 2、乙方应按照甲方要求，配送到指定地点，经甲方验收合格后，乙方提供所供货物清单，甲方对所供货物的价格进行核实（按各大菜场平均价格*（1-优惠率）核定结算价格），经核实无误后在供货单上签字确认。结算时按甲方签字确认的供货单据实结算。 3、费用按月结算，甲方在次月根据供货单据实结算上个月的费用，若遇年终预决算等特殊原因，延期结算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按照合同内约定执行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shaanxihuahai@163.com（出具弃标函并发送至代理机构邮箱）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3、支付进度以第八章拟签订采购合同文本为准。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任意一年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个人所得税和印花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提供2024年度任意一年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企业资质1</w:t>
            </w:r>
          </w:p>
        </w:tc>
        <w:tc>
          <w:tcPr>
            <w:tcW w:type="dxa" w:w="3322"/>
          </w:tcPr>
          <w:p>
            <w:pPr>
              <w:pStyle w:val="null3"/>
            </w:pPr>
            <w:r>
              <w:rPr>
                <w:rFonts w:ascii="仿宋_GB2312" w:hAnsi="仿宋_GB2312" w:cs="仿宋_GB2312" w:eastAsia="仿宋_GB2312"/>
              </w:rPr>
              <w:t>供应商为生产厂家的需提供《食品生产许可证》，供应商为代理商的需提供《食品经营许可证》；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陕西省政府采购供应商拒绝政府采购领域商业贿赂承诺书 标的清单 技术和商务偏离表 响应函 合同条款响应</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技术和商务偏离表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标的清单 陕西省政府采购供应商拒绝政府采购领域商业贿赂承诺书 技术和商务偏离表 响应函 合同条款响应</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①项目实施计划②服务流程③供货计划安排④食材保管方案⑤配送服务方案⑥退、换货方案 评审标准： 以上内容切合本项目实际情况及实施要求，内容与要点相符、每个要点均有展开详细的阐述且能够适用于本项目的最高得12分； 评审内容每缺一项扣2分； 评审内容有一项内容缺陷（缺陷是指：内容描述过于简单、条理不清晰、与项目内容不匹配、凭空编造、出现常识性错误、不可能实现的夸大情形、只有标题没有实质性内容或存在不适用项目实际情况的情形等）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 ①食材质量控制方案（包括但不限于采购环节的质量控制方案及加工包装保证运输等各环节的质量控制方案）②服务期间的食品安全保证措施③服务期间的安全责任划分标准及配送过程出现问题的安全事故（包括但不限于人员安全、车辆等情况）的应对措施④供货渠道（产品采购渠道正常、稳定，质量有保证，提供拟配送产品的来源渠道合法证明文件）⑤供货时限保证措施 评审标准： 以上内容切合本项目实际情况及实施要求，内容与要点相符、每个要点均有展开详细的阐述且能够适用于本项目的最高得10分； 评审内容每缺一项扣2分； 评审内容有一项内容缺陷（缺陷是指：内容描述过于简单、条理不清晰、与项目内容不匹配、凭空编造、出现常识性错误、不可能实现的夸大情形、只有标题没有实质性内容或存在不适用项目实际情况的情形等）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车辆配备情况</w:t>
            </w:r>
          </w:p>
        </w:tc>
        <w:tc>
          <w:tcPr>
            <w:tcW w:type="dxa" w:w="2492"/>
          </w:tcPr>
          <w:p>
            <w:pPr>
              <w:pStyle w:val="null3"/>
            </w:pPr>
            <w:r>
              <w:rPr>
                <w:rFonts w:ascii="仿宋_GB2312" w:hAnsi="仿宋_GB2312" w:cs="仿宋_GB2312" w:eastAsia="仿宋_GB2312"/>
              </w:rPr>
              <w:t>评审内容： ①针对本项目拟投入的运输专用车辆（包括冷链车、货车等）情况，至少列明车辆类型、数量、用途、配置说明、保温保鲜条件、使用年限等，确保所供车辆须符合食品安全运输标准。②提供配备车辆的相关证明材料（不限于车辆证件、购置发票或租赁协议等）。 评审标准： 以上内容切合本项目实际情况及实施要求，内容与要点相符、每个要点均有展开详细的阐述且能够适用于本项目的最高得6分； 评审内容每缺一项扣3分； 评审内容有一项内容缺陷（缺陷是指：车辆配备不合理、车辆相关描述简单、车辆老旧、车辆证明材料不齐全、与项目内容不匹配、凭空编造、出现常识性错误、不可能实现的夸大情形、只有标题没有实质性内容或存在不适用项目实际情况的情形等）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评审内容： ①仓储场地、设备及设施条件，食材储存场地符合相应的技术标准和环保、安全要求，确保食材新鲜、卫生、安全。②仓储场地、设备及设施条件证明材料（不限于租赁合同、场地购置合同、购置发票及储存场地的图片等）。 评审标准： 以上内容切合本项目实际情况及实施要求，内容与要点相符、每个要点均有展开详细的阐述且能够适用于本项目的最高得4分； 评审内容每缺一项扣2分； 评审内容有一项内容缺陷（缺陷是指：内容描述过于简单、条理不清晰、与项目内容不匹配、凭空编造、出现常识性错误、资料不齐全、不可能实现的夸大情形、存在不适用项目实际情况或只有标题没有实质性内容的情形等）扣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 ①针对本项目拟配备人员（包括但不限于人员名单、数量、身份证等）②人员分工及岗位职责划分③提供配送人员有效期内的健康证，提供司机的驾驶证、健康证等相关证明资料④人员管理方案 评审标准： 以上内容切合本项目实际情况及实施要求，内容与要点相符、每个要点均有展开详细的阐述且能够适用于本项目的最高得8分； 评审内容每缺一项扣2分； 评审内容有一项内容缺陷（缺陷是指：人员配备不合理、职责划分不明确、人员证件及证明材料不齐全、与项目特点不匹配、凭空编造、出现常识性错误、不可能实现的夸大情形、只有标题没有实质性内容或存在不适用项目实际情况的情形等）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本项目制定应急预案，包括①遇到市场供求变化②临时加餐调货（包括但不限于重大节假日、活动或其他特殊情况等）③恶劣天气因素影响④服务期内，出现重大突发公共卫生事件、群体性食物中毒等紧急突发事件，有切实可行的应急处置措施 评审标准： 以上内容切合本项目实际情况及实施要求，内容与要点相符、每个要点均有展开详细的阐述且能够适用于本项目的最高得8分； 评审内容每缺一项扣2分； 评审内容有一项内容缺陷（缺陷是指：内容描述过于简单、条理不清晰、与项目内容不匹配、凭空编造、出现常识性错误、不可能实现的夸大情形、只有标题没有实质性内容或存在不适用项目实际情况的情形等）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 ①经营管理制度②针对不同岗位有不同的管理制度（包括但不限于培训制度等）及考核③员工日常管理办法④项目服务过程中的奖惩措施。 评审标准: 以上内容切合本项目实际情况及实施要求，内容与要点相符、每个要点均有展开详细的阐述且能够适用于本项目的最高得8分； 评审内容每缺一项扣2分； 评审内容有一项内容缺陷（缺陷是指：内容描述过于简单、条理不清晰、与项目内容不匹配、凭空编造、出现常识性错误、不可能实现的夸大情形、只有标题没有实质性内容或存在不适用项目实际情况的情形等）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①承诺满足招标人的配送要求②承诺最短响应时间③服务期内所提供产品食品安全、质量等方面具有详细的服务承诺 评审标准： 以上内容切合本项目实际情况及实施要求，内容与要点相符、每个要点均有展开详细的阐述且能够适用于本项目的最高得6分； 评审内容每缺一项扣2分； 评审内容有一项内容缺陷（缺陷是指：内容描述过于简单、条理不清晰、与项目内容不匹配、凭空编造、出现常识性错误、不可能实现的夸大情形、只有标题没有实质性内容或存在不适用项目实际情况的情形等）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安全承诺</w:t>
            </w:r>
          </w:p>
        </w:tc>
        <w:tc>
          <w:tcPr>
            <w:tcW w:type="dxa" w:w="2492"/>
          </w:tcPr>
          <w:p>
            <w:pPr>
              <w:pStyle w:val="null3"/>
            </w:pPr>
            <w:r>
              <w:rPr>
                <w:rFonts w:ascii="仿宋_GB2312" w:hAnsi="仿宋_GB2312" w:cs="仿宋_GB2312" w:eastAsia="仿宋_GB2312"/>
              </w:rPr>
              <w:t>投标人五年内无重大食品安全、人员安全事故声明。 评审标准： 投标人提供五年内无重大食品安全、人员安全事故声明（格式自拟），得2分。未提供或提供的声明不满足评审内容要求的不得分。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2022年10月1日起至今，供应商有同类项目配送成功实施案例，提供合同复印件加盖供应商公章，每提供一个有效业绩得2分，满分6分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 文 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