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版本号：SXDXYZB2025-012-220251211001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2025-2026年政务公开及网站运维项目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SXDXYZB2025-012-2</w:t>
      </w:r>
      <w:r>
        <w:br/>
      </w:r>
      <w:r>
        <w:br/>
      </w:r>
      <w:r>
        <w:br/>
      </w:r>
    </w:p>
    <w:p>
      <w:pPr>
        <w:pStyle w:val="null3"/>
        <w:jc w:val="center"/>
        <w:outlineLvl w:val="2"/>
      </w:pPr>
      <w:r>
        <w:rPr>
          <w:rFonts w:ascii="仿宋_GB2312" w:hAnsi="仿宋_GB2312" w:cs="仿宋_GB2312" w:eastAsia="仿宋_GB2312"/>
          <w:sz w:val="28"/>
          <w:b/>
        </w:rPr>
        <w:t>西安市未央区人民政府办公室</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西安市未央区人民政府办公室</w:t>
      </w:r>
      <w:r>
        <w:rPr>
          <w:rFonts w:ascii="仿宋_GB2312" w:hAnsi="仿宋_GB2312" w:cs="仿宋_GB2312" w:eastAsia="仿宋_GB2312"/>
        </w:rPr>
        <w:t>委托，拟对</w:t>
      </w:r>
      <w:r>
        <w:rPr>
          <w:rFonts w:ascii="仿宋_GB2312" w:hAnsi="仿宋_GB2312" w:cs="仿宋_GB2312" w:eastAsia="仿宋_GB2312"/>
        </w:rPr>
        <w:t>2025-2026年政务公开及网站运维项目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SXDXYZB2025-012-2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2025-2026年政务公开及网站运维项目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擦亮未央区政务公开工作品牌名片，进一步健全完善基层政府政务公开工作机制、公开平台、专业队伍，提升政务公开的能力和水平；同时按照《西安市政府网站集约化平台管理办法》的要求，保障未央区政府网站迁移至市政府网站集约化平台后继续保持长效、平稳、安全运行，满足2025-2026年中省市检查与考核要求，现需建立有效的网站运维管理机制，并聘请第三方专业机构开展政务公开及网站运维提升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采购包1（2025-2026年政务公开及网站运维项目）：属于专门面向中小企业采购。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1、有效的主体资格证明：具有独立承担民事责任能力的法人、其他组织或自然人，并出具合法有效的相关证明材料，自然人参与的提供其身份证明。</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w:t>
      </w:r>
    </w:p>
    <w:p>
      <w:pPr>
        <w:pStyle w:val="null3"/>
      </w:pPr>
      <w:r>
        <w:rPr>
          <w:rFonts w:ascii="仿宋_GB2312" w:hAnsi="仿宋_GB2312" w:cs="仿宋_GB2312" w:eastAsia="仿宋_GB2312"/>
        </w:rPr>
        <w:t>3、税收缴纳证明：提供2025年至今已缴纳的1个月的纳税证明或完税证明，依法免税的单位应提供相关证明材料。</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5、履行合同所必需的设备和专业技术能力：提供具有履行合同所必需的设备和专业技术能力的承诺。</w:t>
      </w:r>
    </w:p>
    <w:p>
      <w:pPr>
        <w:pStyle w:val="null3"/>
      </w:pPr>
      <w:r>
        <w:rPr>
          <w:rFonts w:ascii="仿宋_GB2312" w:hAnsi="仿宋_GB2312" w:cs="仿宋_GB2312" w:eastAsia="仿宋_GB2312"/>
        </w:rPr>
        <w:t>6、无重大违法记录声明：参加政府采购活动前三年内，在经营活动中没有重大违法记录的书面声明（成立时间至提交响应文件截止时间不足三年的可提供成立至今的书面声明）。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7、法定代表人委托授权书/身份证明：法定代表人委托代理人参加磋商时，应提供法定代表人授权书（附法定代表人身份证复印件）及被授权人身份证；法定代表人亲自参加磋商时，应提供法定代表人身份证明书及法定代表人身份证。非法人单位的负责人均参照执行。</w:t>
      </w:r>
    </w:p>
    <w:p>
      <w:pPr>
        <w:pStyle w:val="null3"/>
      </w:pPr>
      <w:r>
        <w:rPr>
          <w:rFonts w:ascii="仿宋_GB2312" w:hAnsi="仿宋_GB2312" w:cs="仿宋_GB2312" w:eastAsia="仿宋_GB2312"/>
        </w:rPr>
        <w:t>8、信用查询：供应商未被“信用中国”网站（www.creditchina.gov.cn）中列入失信被执行人和重大税收违法失信主体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9、非联合体投标：本项目不接受联合体响应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西安市龙首北路西段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029-86223630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采购包1：927,600.00元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采购）代理服务费参照国家计委关于印发《招标代理服务收费管理暂行办法》的通知（计价格〔2002〕1980号）、《国家发展和改革委员会办公厅关于招标代理服务收费有关问题的通知》（发改办价格〔2003〕857号）标准，以实际中标（成交）金额为准确定招标代理服务费。 代理服务费账号信息如下： 公司名称：陕西德欣源项目管理有限公司 开户行：中国建设银行股份有限公司西安凤城七路支行 账号：61050110309109999888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西安市未央区人民政府办公室</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西安市未央区人民政府办公室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满足2025-2026年中省市检查与考核要求，建立有效的网站运维管理机制，并聘请第三方专业机构开展政务公开及网站运维提升工作。服务须符合现行的国家标准或国家行政部门颁布的法律法规、规章制度。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联系人：王玉</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擦亮未央区政务公开工作品牌名片，进一步健全完善基层政府政务公开工作机制、公开平台、专业队伍，提升政务公开的能力和水平；同时按照《西安市政府网站集约化平台管理办法》的要求，保障未央区政府网站迁移至市政府网站集约化平台后继续保持长效、平稳、安全运行，满足2025-2026年中省市检查与考核要求，现需建立有效的网站运维管理机制，并聘请第三方专业机构开展政务公开及网站运维提升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927,600.00</w:t>
      </w:r>
    </w:p>
    <w:p>
      <w:pPr>
        <w:pStyle w:val="null3"/>
      </w:pPr>
      <w:r>
        <w:rPr>
          <w:rFonts w:ascii="仿宋_GB2312" w:hAnsi="仿宋_GB2312" w:cs="仿宋_GB2312" w:eastAsia="仿宋_GB2312"/>
        </w:rPr>
        <w:t>采购包最高限价（元）: 927,600.00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政务公开及网站运维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927,600.00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标的名称：政务公开及网站运维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一、项目概况</w:t>
            </w:r>
          </w:p>
          <w:p>
            <w:pPr>
              <w:pStyle w:val="null3"/>
              <w:ind w:firstLine="400"/>
              <w:jc w:val="both"/>
            </w:pPr>
            <w:r>
              <w:rPr>
                <w:rFonts w:ascii="仿宋_GB2312" w:hAnsi="仿宋_GB2312" w:cs="仿宋_GB2312" w:eastAsia="仿宋_GB2312"/>
              </w:rPr>
              <w:t>为进一步擦亮未央区政务公开工作品牌名片，进一步健全完善基层政府政务公开工作机制、公开平台、专业队伍，提升政务公开的能力和水平；同时按照《西安市政府网站集约化平台管理办法》的要求，保障未央区政府网站迁移至市政府网站集约化平台后继续保持长效、平稳、安全运行，满足</w:t>
            </w:r>
            <w:r>
              <w:rPr>
                <w:rFonts w:ascii="仿宋_GB2312" w:hAnsi="仿宋_GB2312" w:cs="仿宋_GB2312" w:eastAsia="仿宋_GB2312"/>
              </w:rPr>
              <w:t>2025-2026</w:t>
            </w:r>
            <w:r>
              <w:rPr>
                <w:rFonts w:ascii="仿宋_GB2312" w:hAnsi="仿宋_GB2312" w:cs="仿宋_GB2312" w:eastAsia="仿宋_GB2312"/>
              </w:rPr>
              <w:t>年中省市检查与考核要求，现需建立有效的网站运维管理机制，并聘请第三方专业机构开展政务公开及网站运维提升工作。</w:t>
            </w:r>
          </w:p>
          <w:p>
            <w:pPr>
              <w:pStyle w:val="null3"/>
              <w:jc w:val="both"/>
            </w:pPr>
            <w:r>
              <w:rPr>
                <w:rFonts w:ascii="仿宋_GB2312" w:hAnsi="仿宋_GB2312" w:cs="仿宋_GB2312" w:eastAsia="仿宋_GB2312"/>
                <w:b/>
              </w:rPr>
              <w:t>二、服务内容</w:t>
            </w:r>
          </w:p>
          <w:p>
            <w:pPr>
              <w:pStyle w:val="null3"/>
              <w:jc w:val="both"/>
            </w:pPr>
            <w:r>
              <w:rPr>
                <w:rFonts w:ascii="仿宋_GB2312" w:hAnsi="仿宋_GB2312" w:cs="仿宋_GB2312" w:eastAsia="仿宋_GB2312"/>
              </w:rPr>
              <w:t>（一）网站页面栏目优化改版</w:t>
            </w:r>
          </w:p>
          <w:p>
            <w:pPr>
              <w:pStyle w:val="null3"/>
              <w:ind w:firstLine="400"/>
              <w:jc w:val="both"/>
            </w:pPr>
            <w:r>
              <w:rPr>
                <w:rFonts w:ascii="仿宋_GB2312" w:hAnsi="仿宋_GB2312" w:cs="仿宋_GB2312" w:eastAsia="仿宋_GB2312"/>
              </w:rPr>
              <w:t>根据中省市政府网站及政务公开评估要求，借鉴其他地方网站经验做法，结合未央实际，围绕用户需求，重构网站栏目框架体系，动态调整网站内容保障责任清单；结合用户使用习惯和用户行为分析数据，从栏目设置、分类导航、内容展示、美工设计等方面，科学架构网站各版块页面布局，设计版面美工和交互，让网站更贴合群众使用习惯；基于网站内容、功能设计、版面交互设计等内容对现有网站进行改版实施，保障网站兼容性、网站性能、网站安全性等。</w:t>
            </w:r>
          </w:p>
          <w:p>
            <w:pPr>
              <w:pStyle w:val="null3"/>
              <w:jc w:val="both"/>
            </w:pPr>
            <w:r>
              <w:rPr>
                <w:rFonts w:ascii="仿宋_GB2312" w:hAnsi="仿宋_GB2312" w:cs="仿宋_GB2312" w:eastAsia="仿宋_GB2312"/>
              </w:rPr>
              <w:t>（二）网站技术支持</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日常运维服务</w:t>
            </w:r>
          </w:p>
          <w:p>
            <w:pPr>
              <w:pStyle w:val="null3"/>
              <w:ind w:firstLine="400"/>
              <w:jc w:val="both"/>
            </w:pPr>
            <w:r>
              <w:rPr>
                <w:rFonts w:ascii="仿宋_GB2312" w:hAnsi="仿宋_GB2312" w:cs="仿宋_GB2312" w:eastAsia="仿宋_GB2312"/>
              </w:rPr>
              <w:t>网站日常运维，提供网站日常运维服务，具体包括网站问题修改、页面优化调整、栏目及展示方式调整、图片设计制作、专题制作、用户与权限维护、安全维护、咨询指导、重保运维、系统培训等服务。</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智能问答</w:t>
            </w:r>
          </w:p>
          <w:p>
            <w:pPr>
              <w:pStyle w:val="null3"/>
              <w:ind w:firstLine="400"/>
              <w:jc w:val="both"/>
            </w:pPr>
            <w:r>
              <w:rPr>
                <w:rFonts w:ascii="仿宋_GB2312" w:hAnsi="仿宋_GB2312" w:cs="仿宋_GB2312" w:eastAsia="仿宋_GB2312"/>
              </w:rPr>
              <w:t>通过云服务方式，提供智能问答服务，具体包括自动问答、智能提示、关联推荐、场景服务、知识库管理、数据统计报表等功能。同时，提供智能问答知识库梳理服务，针对知识库进行日常业务知识及问题梳理和语义训练，以增强系统的自我学习能力，提高智能问答的准确性、专业性及业务覆盖面。具体包括知识库整理、知识库词条扩充、知识库日常训练、知识库升级、运营分析报告等服务内容。</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网站运行情况报告</w:t>
            </w:r>
          </w:p>
          <w:p>
            <w:pPr>
              <w:pStyle w:val="null3"/>
              <w:ind w:firstLine="400"/>
              <w:jc w:val="both"/>
            </w:pPr>
            <w:r>
              <w:rPr>
                <w:rFonts w:ascii="仿宋_GB2312" w:hAnsi="仿宋_GB2312" w:cs="仿宋_GB2312" w:eastAsia="仿宋_GB2312"/>
              </w:rPr>
              <w:t>定期对网站各业务系统数据和运行情况，包括网站访问情况、网站可用性、内容更新和保障情况、互动交流情况、解读专题及其他重点事件等进行汇总和统计分析，提供网站运行情况报告。</w:t>
            </w:r>
          </w:p>
          <w:p>
            <w:pPr>
              <w:pStyle w:val="null3"/>
              <w:ind w:firstLine="400"/>
              <w:jc w:val="both"/>
            </w:pPr>
            <w:r>
              <w:rPr>
                <w:rFonts w:ascii="仿宋_GB2312" w:hAnsi="仿宋_GB2312" w:cs="仿宋_GB2312" w:eastAsia="仿宋_GB2312"/>
              </w:rPr>
              <w:t>4.</w:t>
            </w:r>
            <w:r>
              <w:rPr>
                <w:rFonts w:ascii="仿宋_GB2312" w:hAnsi="仿宋_GB2312" w:cs="仿宋_GB2312" w:eastAsia="仿宋_GB2312"/>
              </w:rPr>
              <w:t>网站内容保障监管服务</w:t>
            </w:r>
          </w:p>
          <w:p>
            <w:pPr>
              <w:pStyle w:val="null3"/>
              <w:ind w:firstLine="400"/>
              <w:jc w:val="both"/>
            </w:pPr>
            <w:r>
              <w:rPr>
                <w:rFonts w:ascii="仿宋_GB2312" w:hAnsi="仿宋_GB2312" w:cs="仿宋_GB2312" w:eastAsia="仿宋_GB2312"/>
              </w:rPr>
              <w:t>提供网站栏目内容更新监测服务，根据政府网站检查考核指标设定内容更新监管规则，定义网站各栏目更新频次，当网站栏目出现超期未更新问题后系统将相关预警提醒信息推送至各内容保障责任部门，实现自动化实时监测预警，从而保障网站各栏目内容及时有效更新。</w:t>
            </w:r>
          </w:p>
          <w:p>
            <w:pPr>
              <w:pStyle w:val="null3"/>
              <w:ind w:firstLine="400"/>
              <w:jc w:val="both"/>
            </w:pPr>
            <w:r>
              <w:rPr>
                <w:rFonts w:ascii="仿宋_GB2312" w:hAnsi="仿宋_GB2312" w:cs="仿宋_GB2312" w:eastAsia="仿宋_GB2312"/>
              </w:rPr>
              <w:t>5.SSL</w:t>
            </w:r>
            <w:r>
              <w:rPr>
                <w:rFonts w:ascii="仿宋_GB2312" w:hAnsi="仿宋_GB2312" w:cs="仿宋_GB2312" w:eastAsia="仿宋_GB2312"/>
              </w:rPr>
              <w:t>证书</w:t>
            </w:r>
          </w:p>
          <w:p>
            <w:pPr>
              <w:pStyle w:val="null3"/>
              <w:ind w:firstLine="400"/>
              <w:jc w:val="both"/>
            </w:pPr>
            <w:r>
              <w:rPr>
                <w:rFonts w:ascii="仿宋_GB2312" w:hAnsi="仿宋_GB2312" w:cs="仿宋_GB2312" w:eastAsia="仿宋_GB2312"/>
              </w:rPr>
              <w:t>购买第三方</w:t>
            </w:r>
            <w:r>
              <w:rPr>
                <w:rFonts w:ascii="仿宋_GB2312" w:hAnsi="仿宋_GB2312" w:cs="仿宋_GB2312" w:eastAsia="仿宋_GB2312"/>
              </w:rPr>
              <w:t>SSL</w:t>
            </w:r>
            <w:r>
              <w:rPr>
                <w:rFonts w:ascii="仿宋_GB2312" w:hAnsi="仿宋_GB2312" w:cs="仿宋_GB2312" w:eastAsia="仿宋_GB2312"/>
              </w:rPr>
              <w:t>证书服务，实现网站的身份验证和数据传输加密功能。</w:t>
            </w:r>
          </w:p>
          <w:p>
            <w:pPr>
              <w:pStyle w:val="null3"/>
              <w:ind w:firstLine="400"/>
              <w:jc w:val="both"/>
            </w:pPr>
            <w:r>
              <w:rPr>
                <w:rFonts w:ascii="仿宋_GB2312" w:hAnsi="仿宋_GB2312" w:cs="仿宋_GB2312" w:eastAsia="仿宋_GB2312"/>
              </w:rPr>
              <w:t>6.</w:t>
            </w:r>
            <w:r>
              <w:rPr>
                <w:rFonts w:ascii="仿宋_GB2312" w:hAnsi="仿宋_GB2312" w:cs="仿宋_GB2312" w:eastAsia="仿宋_GB2312"/>
              </w:rPr>
              <w:t>政务地图运维</w:t>
            </w:r>
          </w:p>
          <w:p>
            <w:pPr>
              <w:pStyle w:val="null3"/>
              <w:ind w:firstLine="400"/>
              <w:jc w:val="both"/>
            </w:pPr>
            <w:r>
              <w:rPr>
                <w:rFonts w:ascii="仿宋_GB2312" w:hAnsi="仿宋_GB2312" w:cs="仿宋_GB2312" w:eastAsia="仿宋_GB2312"/>
              </w:rPr>
              <w:t>政务地图日常保障，以及楼宇资源便民地图、社区一刻钟服务便民圈等特色功能打造。如，针对全区商务楼宇、城改底商、低效厂房等招商资源，搭建楼宇资源便民地图，展示楼宇详细信息及地理位置等信息，更直观、更详细地推介未央商务楼宇，推动招商引资跑出</w:t>
            </w:r>
            <w:r>
              <w:rPr>
                <w:rFonts w:ascii="仿宋_GB2312" w:hAnsi="仿宋_GB2312" w:cs="仿宋_GB2312" w:eastAsia="仿宋_GB2312"/>
              </w:rPr>
              <w:t>“加速度”。</w:t>
            </w:r>
          </w:p>
          <w:p>
            <w:pPr>
              <w:pStyle w:val="null3"/>
              <w:jc w:val="both"/>
            </w:pPr>
            <w:r>
              <w:rPr>
                <w:rFonts w:ascii="仿宋_GB2312" w:hAnsi="仿宋_GB2312" w:cs="仿宋_GB2312" w:eastAsia="仿宋_GB2312"/>
                <w:b/>
              </w:rPr>
              <w:t>（三）政策解读制作</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政策图解制作</w:t>
            </w:r>
          </w:p>
          <w:p>
            <w:pPr>
              <w:pStyle w:val="null3"/>
              <w:ind w:firstLine="400"/>
              <w:jc w:val="both"/>
            </w:pPr>
            <w:r>
              <w:rPr>
                <w:rFonts w:ascii="仿宋_GB2312" w:hAnsi="仿宋_GB2312" w:cs="仿宋_GB2312" w:eastAsia="仿宋_GB2312"/>
              </w:rPr>
              <w:t>遵循</w:t>
            </w:r>
            <w:r>
              <w:rPr>
                <w:rFonts w:ascii="仿宋_GB2312" w:hAnsi="仿宋_GB2312" w:cs="仿宋_GB2312" w:eastAsia="仿宋_GB2312"/>
              </w:rPr>
              <w:t>“精准解读</w:t>
            </w:r>
            <w:r>
              <w:rPr>
                <w:rFonts w:ascii="仿宋_GB2312" w:hAnsi="仿宋_GB2312" w:cs="仿宋_GB2312" w:eastAsia="仿宋_GB2312"/>
              </w:rPr>
              <w:t>-</w:t>
            </w:r>
            <w:r>
              <w:rPr>
                <w:rFonts w:ascii="仿宋_GB2312" w:hAnsi="仿宋_GB2312" w:cs="仿宋_GB2312" w:eastAsia="仿宋_GB2312"/>
              </w:rPr>
              <w:t>逻辑梳理</w:t>
            </w:r>
            <w:r>
              <w:rPr>
                <w:rFonts w:ascii="仿宋_GB2312" w:hAnsi="仿宋_GB2312" w:cs="仿宋_GB2312" w:eastAsia="仿宋_GB2312"/>
              </w:rPr>
              <w:t>-</w:t>
            </w:r>
            <w:r>
              <w:rPr>
                <w:rFonts w:ascii="仿宋_GB2312" w:hAnsi="仿宋_GB2312" w:cs="仿宋_GB2312" w:eastAsia="仿宋_GB2312"/>
              </w:rPr>
              <w:t>视觉转化</w:t>
            </w:r>
            <w:r>
              <w:rPr>
                <w:rFonts w:ascii="仿宋_GB2312" w:hAnsi="仿宋_GB2312" w:cs="仿宋_GB2312" w:eastAsia="仿宋_GB2312"/>
              </w:rPr>
              <w:t>-</w:t>
            </w:r>
            <w:r>
              <w:rPr>
                <w:rFonts w:ascii="仿宋_GB2312" w:hAnsi="仿宋_GB2312" w:cs="仿宋_GB2312" w:eastAsia="仿宋_GB2312"/>
              </w:rPr>
              <w:t>优化校验”原则， 结构政策文件核心条款要点，开展页面视觉设计，测试不同阅读场景下的清晰度与可读性，提供政策图解制作服务（</w:t>
            </w:r>
            <w:r>
              <w:rPr>
                <w:rFonts w:ascii="仿宋_GB2312" w:hAnsi="仿宋_GB2312" w:cs="仿宋_GB2312" w:eastAsia="仿宋_GB2312"/>
              </w:rPr>
              <w:t>40</w:t>
            </w:r>
            <w:r>
              <w:rPr>
                <w:rFonts w:ascii="仿宋_GB2312" w:hAnsi="仿宋_GB2312" w:cs="仿宋_GB2312" w:eastAsia="仿宋_GB2312"/>
              </w:rPr>
              <w:t>个</w:t>
            </w:r>
            <w:r>
              <w:rPr>
                <w:rFonts w:ascii="仿宋_GB2312" w:hAnsi="仿宋_GB2312" w:cs="仿宋_GB2312" w:eastAsia="仿宋_GB2312"/>
              </w:rPr>
              <w:t>/</w:t>
            </w:r>
            <w:r>
              <w:rPr>
                <w:rFonts w:ascii="仿宋_GB2312" w:hAnsi="仿宋_GB2312" w:cs="仿宋_GB2312" w:eastAsia="仿宋_GB2312"/>
              </w:rPr>
              <w:t>年）。</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动漫解读制作</w:t>
            </w:r>
          </w:p>
          <w:p>
            <w:pPr>
              <w:pStyle w:val="null3"/>
              <w:ind w:firstLine="400"/>
              <w:jc w:val="both"/>
            </w:pPr>
            <w:r>
              <w:rPr>
                <w:rFonts w:ascii="仿宋_GB2312" w:hAnsi="仿宋_GB2312" w:cs="仿宋_GB2312" w:eastAsia="仿宋_GB2312"/>
              </w:rPr>
              <w:t>以</w:t>
            </w:r>
            <w:r>
              <w:rPr>
                <w:rFonts w:ascii="仿宋_GB2312" w:hAnsi="仿宋_GB2312" w:cs="仿宋_GB2312" w:eastAsia="仿宋_GB2312"/>
              </w:rPr>
              <w:t>MG</w:t>
            </w:r>
            <w:r>
              <w:rPr>
                <w:rFonts w:ascii="仿宋_GB2312" w:hAnsi="仿宋_GB2312" w:cs="仿宋_GB2312" w:eastAsia="仿宋_GB2312"/>
              </w:rPr>
              <w:t>动画的形式（时长控制在</w:t>
            </w:r>
            <w:r>
              <w:rPr>
                <w:rFonts w:ascii="仿宋_GB2312" w:hAnsi="仿宋_GB2312" w:cs="仿宋_GB2312" w:eastAsia="仿宋_GB2312"/>
              </w:rPr>
              <w:t>90</w:t>
            </w:r>
            <w:r>
              <w:rPr>
                <w:rFonts w:ascii="仿宋_GB2312" w:hAnsi="仿宋_GB2312" w:cs="仿宋_GB2312" w:eastAsia="仿宋_GB2312"/>
              </w:rPr>
              <w:t>秒以内），将文字、漫画、视频、音乐等多元素结合，融合了动画电影与图形设计的语言，基于时间流动而设计的视觉表现形式，提供卡通动漫形式的政策解读制作服务（</w:t>
            </w:r>
            <w:r>
              <w:rPr>
                <w:rFonts w:ascii="仿宋_GB2312" w:hAnsi="仿宋_GB2312" w:cs="仿宋_GB2312" w:eastAsia="仿宋_GB2312"/>
              </w:rPr>
              <w:t>4</w:t>
            </w:r>
            <w:r>
              <w:rPr>
                <w:rFonts w:ascii="仿宋_GB2312" w:hAnsi="仿宋_GB2312" w:cs="仿宋_GB2312" w:eastAsia="仿宋_GB2312"/>
              </w:rPr>
              <w:t>个</w:t>
            </w:r>
            <w:r>
              <w:rPr>
                <w:rFonts w:ascii="仿宋_GB2312" w:hAnsi="仿宋_GB2312" w:cs="仿宋_GB2312" w:eastAsia="仿宋_GB2312"/>
              </w:rPr>
              <w:t>/</w:t>
            </w:r>
            <w:r>
              <w:rPr>
                <w:rFonts w:ascii="仿宋_GB2312" w:hAnsi="仿宋_GB2312" w:cs="仿宋_GB2312" w:eastAsia="仿宋_GB2312"/>
              </w:rPr>
              <w:t>年）。</w:t>
            </w:r>
          </w:p>
          <w:p>
            <w:pPr>
              <w:pStyle w:val="null3"/>
              <w:jc w:val="both"/>
            </w:pPr>
            <w:r>
              <w:rPr>
                <w:rFonts w:ascii="仿宋_GB2312" w:hAnsi="仿宋_GB2312" w:cs="仿宋_GB2312" w:eastAsia="仿宋_GB2312"/>
                <w:b/>
              </w:rPr>
              <w:t>（四）日常监测及对标诊断</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网站和政务新媒体监测</w:t>
            </w:r>
          </w:p>
          <w:p>
            <w:pPr>
              <w:pStyle w:val="null3"/>
              <w:ind w:firstLine="400"/>
              <w:jc w:val="both"/>
            </w:pPr>
            <w:r>
              <w:rPr>
                <w:rFonts w:ascii="仿宋_GB2312" w:hAnsi="仿宋_GB2312" w:cs="仿宋_GB2312" w:eastAsia="仿宋_GB2312"/>
              </w:rPr>
              <w:t>政府网站和政务新媒体监测，针对错误表述、链接不可用等问题对政府网站和政务新媒体进行扫描监测，人工对问题进行核实并预警提醒。同时，根据《政府网站与政务新媒体检查指标》，按季度对政府网站和新媒体进行全面检测，结合系统监测和人工检查结果，出具</w:t>
            </w:r>
            <w:r>
              <w:rPr>
                <w:rFonts w:ascii="仿宋_GB2312" w:hAnsi="仿宋_GB2312" w:cs="仿宋_GB2312" w:eastAsia="仿宋_GB2312"/>
              </w:rPr>
              <w:t>4</w:t>
            </w:r>
            <w:r>
              <w:rPr>
                <w:rFonts w:ascii="仿宋_GB2312" w:hAnsi="仿宋_GB2312" w:cs="仿宋_GB2312" w:eastAsia="仿宋_GB2312"/>
              </w:rPr>
              <w:t>期政府网站监测报告，及时发现网站更新不及时、错误表述、页面不规范、服务不实用等问题，出具</w:t>
            </w:r>
            <w:r>
              <w:rPr>
                <w:rFonts w:ascii="仿宋_GB2312" w:hAnsi="仿宋_GB2312" w:cs="仿宋_GB2312" w:eastAsia="仿宋_GB2312"/>
              </w:rPr>
              <w:t>4</w:t>
            </w:r>
            <w:r>
              <w:rPr>
                <w:rFonts w:ascii="仿宋_GB2312" w:hAnsi="仿宋_GB2312" w:cs="仿宋_GB2312" w:eastAsia="仿宋_GB2312"/>
              </w:rPr>
              <w:t>期新媒体监测问题清单，及时发现栏目更新不及时、链接不可用等问题。</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对标诊断服务</w:t>
            </w:r>
          </w:p>
          <w:p>
            <w:pPr>
              <w:pStyle w:val="null3"/>
              <w:ind w:firstLine="400"/>
              <w:jc w:val="both"/>
            </w:pPr>
            <w:r>
              <w:rPr>
                <w:rFonts w:ascii="仿宋_GB2312" w:hAnsi="仿宋_GB2312" w:cs="仿宋_GB2312" w:eastAsia="仿宋_GB2312"/>
              </w:rPr>
              <w:t>参照国家和省市政务公开考核指标要求，对政务公开工作从公开渠道、主动公开、依申请公开、政策解读、保障能力等方面进行全面诊断和对标检查，及时发现存在的问题和不足，形成《对标诊断报告》，并提出合理化建议，辅助整改，以期在考核中取得优异成绩。</w:t>
            </w:r>
          </w:p>
          <w:p>
            <w:pPr>
              <w:pStyle w:val="null3"/>
              <w:jc w:val="both"/>
            </w:pPr>
            <w:r>
              <w:rPr>
                <w:rFonts w:ascii="仿宋_GB2312" w:hAnsi="仿宋_GB2312" w:cs="仿宋_GB2312" w:eastAsia="仿宋_GB2312"/>
                <w:b/>
              </w:rPr>
              <w:t>（五）打造网站亮点</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打造医保专题，提供异地就医、结算等一站式服务</w:t>
            </w:r>
          </w:p>
          <w:p>
            <w:pPr>
              <w:pStyle w:val="null3"/>
              <w:ind w:firstLine="400"/>
              <w:jc w:val="both"/>
            </w:pPr>
            <w:r>
              <w:rPr>
                <w:rFonts w:ascii="仿宋_GB2312" w:hAnsi="仿宋_GB2312" w:cs="仿宋_GB2312" w:eastAsia="仿宋_GB2312"/>
              </w:rPr>
              <w:t>为参保人员提供跨省、跨市就医的便利，打造</w:t>
            </w:r>
            <w:r>
              <w:rPr>
                <w:rFonts w:ascii="仿宋_GB2312" w:hAnsi="仿宋_GB2312" w:cs="仿宋_GB2312" w:eastAsia="仿宋_GB2312"/>
              </w:rPr>
              <w:t>“异地就医”专题，围绕异地就医备案、异地就医结算、报销比例和范围、异地转诊、异地急诊、异地就医报销等方面，详细介绍办理条件、办理流程、政策待遇等内容，确保在外地就医时能够享受医保待遇。</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打造招商引资专题，提供未央招商政策、招商项目宣传等一站式服务</w:t>
            </w:r>
          </w:p>
          <w:p>
            <w:pPr>
              <w:pStyle w:val="null3"/>
              <w:ind w:firstLine="400"/>
              <w:jc w:val="both"/>
            </w:pPr>
            <w:r>
              <w:rPr>
                <w:rFonts w:ascii="仿宋_GB2312" w:hAnsi="仿宋_GB2312" w:cs="仿宋_GB2312" w:eastAsia="仿宋_GB2312"/>
              </w:rPr>
              <w:t>围绕</w:t>
            </w:r>
            <w:r>
              <w:rPr>
                <w:rFonts w:ascii="仿宋_GB2312" w:hAnsi="仿宋_GB2312" w:cs="仿宋_GB2312" w:eastAsia="仿宋_GB2312"/>
              </w:rPr>
              <w:t>“五大片区”开展招商工作，展示未央首善之区、经济实力、历史文化等，汇聚招商政策、投资动态、招商项目、楼宇资源等，推介在人才、产业等方面投资优势，提供招商引资一站式服务，以高质量服务推动项目落地。</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打造高校毕业生就业专题，为大学毕业生提供就业岗位、创业政策等相关信息</w:t>
            </w:r>
          </w:p>
          <w:p>
            <w:pPr>
              <w:pStyle w:val="null3"/>
              <w:ind w:firstLine="400"/>
              <w:jc w:val="both"/>
            </w:pPr>
            <w:r>
              <w:rPr>
                <w:rFonts w:ascii="仿宋_GB2312" w:hAnsi="仿宋_GB2312" w:cs="仿宋_GB2312" w:eastAsia="仿宋_GB2312"/>
              </w:rPr>
              <w:t>聚焦高校毕业生创业开设服务专题，围绕一次性创业补贴、创业担保贷款、小微企业创业担保贷款、免费创业培训、税收减免等方面，细化政策支持条款、申领条件、申请流程等，提供场景式、集成式服务，支持高校毕业生自主创业。</w:t>
            </w:r>
          </w:p>
          <w:p>
            <w:pPr>
              <w:pStyle w:val="null3"/>
              <w:ind w:firstLine="400"/>
              <w:jc w:val="both"/>
            </w:pPr>
            <w:r>
              <w:rPr>
                <w:rFonts w:ascii="仿宋_GB2312" w:hAnsi="仿宋_GB2312" w:cs="仿宋_GB2312" w:eastAsia="仿宋_GB2312"/>
              </w:rPr>
              <w:t>4.</w:t>
            </w:r>
            <w:r>
              <w:rPr>
                <w:rFonts w:ascii="仿宋_GB2312" w:hAnsi="仿宋_GB2312" w:cs="仿宋_GB2312" w:eastAsia="仿宋_GB2312"/>
              </w:rPr>
              <w:t>打造生育服务专题，提供孕前孕期产后一站式服务</w:t>
            </w:r>
          </w:p>
          <w:p>
            <w:pPr>
              <w:pStyle w:val="null3"/>
              <w:ind w:firstLine="400"/>
              <w:jc w:val="both"/>
            </w:pPr>
            <w:r>
              <w:rPr>
                <w:rFonts w:ascii="仿宋_GB2312" w:hAnsi="仿宋_GB2312" w:cs="仿宋_GB2312" w:eastAsia="仿宋_GB2312"/>
              </w:rPr>
              <w:t>围绕孕前、孕期、产后等不同阶段，及时发布相关政策措施，整合提供免费孕前优生健康检查项目查询、生育登记、生育津贴申领、生育医疗费报销、领取出生证明、新生儿落户等服务，普及优生优育知识，为辖区内群众提供孕前孕期产后一站式服务，推动建设生育友好型社会。</w:t>
            </w:r>
          </w:p>
          <w:p>
            <w:pPr>
              <w:pStyle w:val="null3"/>
              <w:ind w:firstLine="400"/>
              <w:jc w:val="both"/>
            </w:pPr>
            <w:r>
              <w:rPr>
                <w:rFonts w:ascii="仿宋_GB2312" w:hAnsi="仿宋_GB2312" w:cs="仿宋_GB2312" w:eastAsia="仿宋_GB2312"/>
              </w:rPr>
              <w:t xml:space="preserve">5. </w:t>
            </w:r>
            <w:r>
              <w:rPr>
                <w:rFonts w:ascii="仿宋_GB2312" w:hAnsi="仿宋_GB2312" w:cs="仿宋_GB2312" w:eastAsia="仿宋_GB2312"/>
              </w:rPr>
              <w:t>打造未央教育入学、供暖专题</w:t>
            </w:r>
          </w:p>
          <w:p>
            <w:pPr>
              <w:pStyle w:val="null3"/>
              <w:ind w:firstLine="400"/>
              <w:jc w:val="both"/>
            </w:pPr>
            <w:r>
              <w:rPr>
                <w:rFonts w:ascii="仿宋_GB2312" w:hAnsi="仿宋_GB2312" w:cs="仿宋_GB2312" w:eastAsia="仿宋_GB2312"/>
              </w:rPr>
              <w:t>入学季专门搭建</w:t>
            </w:r>
            <w:r>
              <w:rPr>
                <w:rFonts w:ascii="仿宋_GB2312" w:hAnsi="仿宋_GB2312" w:cs="仿宋_GB2312" w:eastAsia="仿宋_GB2312"/>
              </w:rPr>
              <w:t>“义务教育入学专栏”，集中发布政策解读、报名指南等信息，切实减少群众咨询成本；供暖季针对群众对供暖收费、温度不达标等问题，在供暖期前提前发布“冬季供暖服务专题”，将供暖时间、服务机构、收费标准、常见问题、投诉方式等一次性公开。</w:t>
            </w:r>
          </w:p>
          <w:p>
            <w:pPr>
              <w:pStyle w:val="null3"/>
              <w:jc w:val="both"/>
            </w:pPr>
            <w:r>
              <w:rPr>
                <w:rFonts w:ascii="仿宋_GB2312" w:hAnsi="仿宋_GB2312" w:cs="仿宋_GB2312" w:eastAsia="仿宋_GB2312"/>
                <w:b/>
              </w:rPr>
              <w:t>三、技术要求</w:t>
            </w:r>
          </w:p>
          <w:p>
            <w:pPr>
              <w:pStyle w:val="null3"/>
              <w:ind w:firstLine="400"/>
              <w:jc w:val="both"/>
            </w:pPr>
            <w:r>
              <w:rPr>
                <w:rFonts w:ascii="仿宋_GB2312" w:hAnsi="仿宋_GB2312" w:cs="仿宋_GB2312" w:eastAsia="仿宋_GB2312"/>
              </w:rPr>
              <w:t>2025-2026</w:t>
            </w:r>
            <w:r>
              <w:rPr>
                <w:rFonts w:ascii="仿宋_GB2312" w:hAnsi="仿宋_GB2312" w:cs="仿宋_GB2312" w:eastAsia="仿宋_GB2312"/>
              </w:rPr>
              <w:t>年西安市未央区政府门户网站运维要基于“西安市政府网站集约化平台”进行实施，因此需熟悉西安市政府网站集约化平台功能架构、部署实施、开发环境等。</w:t>
            </w:r>
          </w:p>
          <w:p>
            <w:pPr>
              <w:pStyle w:val="null3"/>
              <w:jc w:val="both"/>
            </w:pPr>
            <w:r>
              <w:rPr>
                <w:rFonts w:ascii="仿宋_GB2312" w:hAnsi="仿宋_GB2312" w:cs="仿宋_GB2312" w:eastAsia="仿宋_GB2312"/>
                <w:b/>
              </w:rPr>
              <w:t>四、商务要求</w:t>
            </w:r>
          </w:p>
          <w:p>
            <w:pPr>
              <w:pStyle w:val="null3"/>
              <w:jc w:val="both"/>
            </w:pPr>
            <w:r>
              <w:rPr>
                <w:rFonts w:ascii="仿宋_GB2312" w:hAnsi="仿宋_GB2312" w:cs="仿宋_GB2312" w:eastAsia="仿宋_GB2312"/>
              </w:rPr>
              <w:t>（一）服务期限</w:t>
            </w:r>
          </w:p>
          <w:p>
            <w:pPr>
              <w:pStyle w:val="null3"/>
              <w:jc w:val="both"/>
            </w:pPr>
            <w:r>
              <w:rPr>
                <w:rFonts w:ascii="仿宋_GB2312" w:hAnsi="仿宋_GB2312" w:cs="仿宋_GB2312" w:eastAsia="仿宋_GB2312"/>
              </w:rPr>
              <w:t>自合同签订之日起一年。</w:t>
            </w:r>
          </w:p>
          <w:p>
            <w:pPr>
              <w:pStyle w:val="null3"/>
              <w:jc w:val="both"/>
            </w:pPr>
            <w:r>
              <w:rPr>
                <w:rFonts w:ascii="仿宋_GB2312" w:hAnsi="仿宋_GB2312" w:cs="仿宋_GB2312" w:eastAsia="仿宋_GB2312"/>
              </w:rPr>
              <w:t>（二）款项结算</w:t>
            </w:r>
          </w:p>
          <w:p>
            <w:pPr>
              <w:pStyle w:val="null3"/>
              <w:jc w:val="both"/>
            </w:pPr>
            <w:r>
              <w:rPr>
                <w:rFonts w:ascii="仿宋_GB2312" w:hAnsi="仿宋_GB2312" w:cs="仿宋_GB2312" w:eastAsia="仿宋_GB2312"/>
              </w:rPr>
              <w:t>合同签订后，分三次支付。</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）合同签订后</w:t>
            </w:r>
            <w:r>
              <w:rPr>
                <w:rFonts w:ascii="仿宋_GB2312" w:hAnsi="仿宋_GB2312" w:cs="仿宋_GB2312" w:eastAsia="仿宋_GB2312"/>
              </w:rPr>
              <w:t>5</w:t>
            </w:r>
            <w:r>
              <w:rPr>
                <w:rFonts w:ascii="仿宋_GB2312" w:hAnsi="仿宋_GB2312" w:cs="仿宋_GB2312" w:eastAsia="仿宋_GB2312"/>
              </w:rPr>
              <w:t>个工作日内 ，达到付款条件起</w:t>
            </w:r>
            <w:r>
              <w:rPr>
                <w:rFonts w:ascii="仿宋_GB2312" w:hAnsi="仿宋_GB2312" w:cs="仿宋_GB2312" w:eastAsia="仿宋_GB2312"/>
              </w:rPr>
              <w:t>30</w:t>
            </w:r>
            <w:r>
              <w:rPr>
                <w:rFonts w:ascii="仿宋_GB2312" w:hAnsi="仿宋_GB2312" w:cs="仿宋_GB2312" w:eastAsia="仿宋_GB2312"/>
              </w:rPr>
              <w:t>日内，支付合同总金额的</w:t>
            </w:r>
            <w:r>
              <w:rPr>
                <w:rFonts w:ascii="仿宋_GB2312" w:hAnsi="仿宋_GB2312" w:cs="仿宋_GB2312" w:eastAsia="仿宋_GB2312"/>
              </w:rPr>
              <w:t>30.00%</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）服务期开始</w:t>
            </w:r>
            <w:r>
              <w:rPr>
                <w:rFonts w:ascii="仿宋_GB2312" w:hAnsi="仿宋_GB2312" w:cs="仿宋_GB2312" w:eastAsia="仿宋_GB2312"/>
              </w:rPr>
              <w:t>6</w:t>
            </w:r>
            <w:r>
              <w:rPr>
                <w:rFonts w:ascii="仿宋_GB2312" w:hAnsi="仿宋_GB2312" w:cs="仿宋_GB2312" w:eastAsia="仿宋_GB2312"/>
              </w:rPr>
              <w:t>个月后，达到付款条件起</w:t>
            </w:r>
            <w:r>
              <w:rPr>
                <w:rFonts w:ascii="仿宋_GB2312" w:hAnsi="仿宋_GB2312" w:cs="仿宋_GB2312" w:eastAsia="仿宋_GB2312"/>
              </w:rPr>
              <w:t>30</w:t>
            </w:r>
            <w:r>
              <w:rPr>
                <w:rFonts w:ascii="仿宋_GB2312" w:hAnsi="仿宋_GB2312" w:cs="仿宋_GB2312" w:eastAsia="仿宋_GB2312"/>
              </w:rPr>
              <w:t>日内，支付合同总金额的</w:t>
            </w:r>
            <w:r>
              <w:rPr>
                <w:rFonts w:ascii="仿宋_GB2312" w:hAnsi="仿宋_GB2312" w:cs="仿宋_GB2312" w:eastAsia="仿宋_GB2312"/>
              </w:rPr>
              <w:t>60.00%</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）服务期满，采购人验收合格后，达到付款条件起</w:t>
            </w:r>
            <w:r>
              <w:rPr>
                <w:rFonts w:ascii="仿宋_GB2312" w:hAnsi="仿宋_GB2312" w:cs="仿宋_GB2312" w:eastAsia="仿宋_GB2312"/>
              </w:rPr>
              <w:t>30</w:t>
            </w:r>
            <w:r>
              <w:rPr>
                <w:rFonts w:ascii="仿宋_GB2312" w:hAnsi="仿宋_GB2312" w:cs="仿宋_GB2312" w:eastAsia="仿宋_GB2312"/>
              </w:rPr>
              <w:t>日内，支付合同总金额的</w:t>
            </w:r>
            <w:r>
              <w:rPr>
                <w:rFonts w:ascii="仿宋_GB2312" w:hAnsi="仿宋_GB2312" w:cs="仿宋_GB2312" w:eastAsia="仿宋_GB2312"/>
              </w:rPr>
              <w:t>10.00%</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服务质量</w:t>
            </w:r>
          </w:p>
          <w:p>
            <w:pPr>
              <w:pStyle w:val="null3"/>
            </w:pPr>
            <w:r>
              <w:rPr>
                <w:rFonts w:ascii="仿宋_GB2312" w:hAnsi="仿宋_GB2312" w:cs="仿宋_GB2312" w:eastAsia="仿宋_GB2312"/>
              </w:rPr>
              <w:t>符合现行的国家标准或国家行政部门颁布的法律法规、规章制度，满足采购人的使用需求。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人员配备应齐全、合理，满足项目服务要求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设施设备配置满足采购人服务需求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满足2025-2026年中省市检查与考核要求，建立有效的网站运维管理机制，并聘请第三方专业机构开展政务公开及网站运维提升工作。服务须符合现行的国家标准或国家行政部门颁布的法律法规、规章制度。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合同签订后5个工作日内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服务期开始6个月后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因违反或终止合同而引起的对对方损失和损害的赔偿，双方应本着友好的原则协商解决，如未能达成一致，根据双方约定向甲方所在地人民法院提出诉讼。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法定代表人委托代理人参加磋商时，应提供法定代表人授权书（附法定代表人身份证复印件）及被授权人身份证；法定代表人亲自参加磋商时，应提供法定代表人身份证明书及法定代表人身份证。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中列入失信被执行人和重大税收违法失信主体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（4）符合《报价表》《分项报价表》的填报要求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完全响应磋商文件要求的各项技术及服务、商务实质性条款。</w:t>
            </w:r>
          </w:p>
        </w:tc>
        <w:tc>
          <w:tcPr>
            <w:tcW w:type="dxa" w:w="1661"/>
          </w:tcPr>
          <w:p>
            <w:pPr>
              <w:pStyle w:val="null3"/>
            </w:pPr>
            <w:r>
              <w:rPr>
                <w:rFonts w:ascii="仿宋_GB2312" w:hAnsi="仿宋_GB2312" w:cs="仿宋_GB2312" w:eastAsia="仿宋_GB2312"/>
              </w:rPr>
              <w:t>服务内容及服务邀请应答表 中小企业声明函 商务应答表 标的清单 供应商应提交的相关资格证明材料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（1）评审内容：根据供应商提供的总体服务方案进行综合评审，内容包含①服务目标；②服务实施计划(服务工作流程)；③重难点分析及应对措施。 （2）评分标准 ①完整性：方案必须全面，对评审内容中的各项要求有详细描述； ②可实施性：切合本项目实际情况，提出切实可行、合理的方案。 （3）赋分标准（满分6分） ①服务目标：每完全满足一个评审标准得1分，满分2分； ②服务实施计划：每完全满足一个评审标准得1分，满分2分； ③重难点分析及应对措施：每完全满足一个评审标准得1分，满分2分。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网站页面栏目优化改版服务方案</w:t>
            </w:r>
          </w:p>
        </w:tc>
        <w:tc>
          <w:tcPr>
            <w:tcW w:type="dxa" w:w="2492"/>
          </w:tcPr>
          <w:p>
            <w:pPr>
              <w:pStyle w:val="null3"/>
            </w:pPr>
            <w:r>
              <w:rPr>
                <w:rFonts w:ascii="仿宋_GB2312" w:hAnsi="仿宋_GB2312" w:cs="仿宋_GB2312" w:eastAsia="仿宋_GB2312"/>
              </w:rPr>
              <w:t>（1）评审内容：根据服务商针对网站页面栏目优化改版服务方案进行综合评审。 （2）评分标准 ①完整性：方案必须全面，对评审内容中的各项要求有详细描述； ②可实施性：切合本项目实际情况，提出切实可行、合理的方案；③针对性：方案能够紧扣项目实际情况，符合省、市政务公开和政府网站建设要求，精准匹配采购需求不泛化。 （3）赋分标准（满分3分） 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网站技术支持服务方案</w:t>
            </w:r>
          </w:p>
        </w:tc>
        <w:tc>
          <w:tcPr>
            <w:tcW w:type="dxa" w:w="2492"/>
          </w:tcPr>
          <w:p>
            <w:pPr>
              <w:pStyle w:val="null3"/>
            </w:pPr>
            <w:r>
              <w:rPr>
                <w:rFonts w:ascii="仿宋_GB2312" w:hAnsi="仿宋_GB2312" w:cs="仿宋_GB2312" w:eastAsia="仿宋_GB2312"/>
              </w:rPr>
              <w:t>（1）评审内容：根据服务商针对本项目网站技术支持服务方案进行综合评审，内容包含①日常运维服务；②智能问答服务；③网站运行情况报告；④网站内容保障监管服务；⑤政务地图运维；⑥SSL证书。 （2）评分标准 ①完整性：方案必须全面，对评审内容中的各项要求有详细描述； ②可实施性：切合本项目实际情况，提出切实可行、合理的方案。 （3）赋分标准（满分12分） ①日常运维服务：每完全满足一个评审标准得1分，满分2分；②智能问答服务:每完全满足一个评审标准得1分，满分2分；③网站运行情况报告:每完全满足一个评审标准得1分，满分2分；④网站内容保障监管服务:每完全满足一个评审标准得1分，满分2分；⑤政务地图运维：每完全满足一个评审标准得1分，满分2分；⑥SSL证书：每完全满足一个评审标准得1分，满分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政策解读制作服务方案</w:t>
            </w:r>
          </w:p>
        </w:tc>
        <w:tc>
          <w:tcPr>
            <w:tcW w:type="dxa" w:w="2492"/>
          </w:tcPr>
          <w:p>
            <w:pPr>
              <w:pStyle w:val="null3"/>
            </w:pPr>
            <w:r>
              <w:rPr>
                <w:rFonts w:ascii="仿宋_GB2312" w:hAnsi="仿宋_GB2312" w:cs="仿宋_GB2312" w:eastAsia="仿宋_GB2312"/>
              </w:rPr>
              <w:t>（1）评审内容：根据服务商针对本项目政策解读制作服务方案进行综合评审，内容包含①政策图解制作（40个/年）；②动漫解读制作（4个/年）。 （2）评分标准 ①完整性：方案必须全面，对评审内容中的各项要求有详细描述； ②可实施性：切合本项目实际情况，内容丰富，提出切实可行、合理的方案； （3）赋分标准（满分4分） ①政策图解制作：每完全满足一个评审标准得1分，满分2分；②动漫解读制作：每完全满足一个评审标准得1分，满分2分。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日常监测及对标诊断服务方案</w:t>
            </w:r>
          </w:p>
        </w:tc>
        <w:tc>
          <w:tcPr>
            <w:tcW w:type="dxa" w:w="2492"/>
          </w:tcPr>
          <w:p>
            <w:pPr>
              <w:pStyle w:val="null3"/>
            </w:pPr>
            <w:r>
              <w:rPr>
                <w:rFonts w:ascii="仿宋_GB2312" w:hAnsi="仿宋_GB2312" w:cs="仿宋_GB2312" w:eastAsia="仿宋_GB2312"/>
              </w:rPr>
              <w:t>（1）评审内容：根据供应商提供的日常监测及对标诊断服务方案进行综合评审，内容包含①网站和政务新媒体监测；②对标诊断服务。 （2）评分标准 ①完整性：方案必须全面，对评审内容中的各项要求有详细描述； ②可实施性：切合本项目实际情况，提出切实可行、合理的方案；③针对性：方案能够紧扣项目实际情况，符合省、市政务公开和政府网站建设要求，精准匹配采购需求不泛化。 （3）赋分标准（满分6分） ①网站和政务新媒体监测：每完全满足一个评审标准得1分，满分3分；②对标诊断服务：每完全满足一个评审标准得1分，满分3分；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打造网站亮点服务方案</w:t>
            </w:r>
          </w:p>
        </w:tc>
        <w:tc>
          <w:tcPr>
            <w:tcW w:type="dxa" w:w="2492"/>
          </w:tcPr>
          <w:p>
            <w:pPr>
              <w:pStyle w:val="null3"/>
            </w:pPr>
            <w:r>
              <w:rPr>
                <w:rFonts w:ascii="仿宋_GB2312" w:hAnsi="仿宋_GB2312" w:cs="仿宋_GB2312" w:eastAsia="仿宋_GB2312"/>
              </w:rPr>
              <w:t>（1）评审内容：根据供应商打造网站亮点服务方案进行综合评审，内容包含①医保专题服务方案；②招商引资专题服务方案；③高校毕业生就业专题服务方案；④生育服务专题方案；⑤未央教育入学、供暖专题方案。 （2）评分标准 ①完整性：方案必须全面，对评审内容中的各项要求有详细描述； ②可实施性：切合本项目实际情况，提出切实可行、合理的方案；③针对性：方案能够紧扣项目实际情况，符合省、市政务公开和政府网站建设要求，精准匹配采购需求不泛化。 （3）赋分标准（满分15分） ①医保专题服务方案：每完全满足一个评审标准得1分，满分3分；②招商引资专题服务方案：每完全满足一个评审标准得1分，满分3分；③高校毕业生就业专题服务方案:每完全满足一个评审标准得1分，满分3分；④生育服务专题方案：每完全满足一个评审标准得1分，满分3分；⑤未央教育入学、供暖专题方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服务人员组织方案</w:t>
            </w:r>
          </w:p>
        </w:tc>
        <w:tc>
          <w:tcPr>
            <w:tcW w:type="dxa" w:w="2492"/>
          </w:tcPr>
          <w:p>
            <w:pPr>
              <w:pStyle w:val="null3"/>
            </w:pPr>
            <w:r>
              <w:rPr>
                <w:rFonts w:ascii="仿宋_GB2312" w:hAnsi="仿宋_GB2312" w:cs="仿宋_GB2312" w:eastAsia="仿宋_GB2312"/>
              </w:rPr>
              <w:t>（1）评审内容：服务商针对本项目的服务人员组织方案，内容包含①团队人员配置（提供团队人员相关资格证书或身份证）；②服务人员管理制度；③人员岗位职责。 （2）评分标准 ①完整性：方案必须全面，对评审内容中的各项要求有详细描述；②可实施性：切合本项目实际情况，提出切实可行、合理的方案；③针对性：方案能够紧扣项目实际情况，团队人员充足、配置合理，专业性强符合本项目服务人员要求。 （3）赋分标准（满分9分） ①团队人员配置：每完全满足一个评审标准得1分，满分3分；②服务人员管理制度：每完全满足一个评审标准得1分，满分3分；③服务人员岗位职责：每完全满足一个评审标准得1分，满分3分。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（1）评审内容：服务商针对本项目的应急预案，内容包含①应急预案及措施；②应急人员安排。 （2）评分标准 ①完整性：方案必须全面，对评审内容中的各项要求有详细描述； ②可实施性：切合本项目实际情况，提出切实可行、合理的方案； ③针对性：方案能够紧扣项目实际情况，精准匹配采购需求不泛化。 （3）赋分标准（满分6分） ①应急预案及措施：每完全满足一个评审标准得1分，满分3分；②应急人员安排：每完全满足一个评审标准得1分，满分3分；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（1）评审内容：服务商针对本项目的服务承诺，内容包含①服务质量及本地化服务承诺；②故障响应及解决时间承诺；③服务人员保密承诺。 （2）评分标准 ①完整性：服务承诺必须全面，对评审内容中的各项要求有详细描述；②可实施性：切合本项目实际情况，提出切实可行、合理的服务承诺； ③针对性：服务承诺能够紧扣项目实际情况，精准匹配采购需求不泛化。 （3）赋分标准（满分9分）①服务质量及本地化服务承诺：每完全满足一个评审标准得1分，满分3分；②故障响应及解决时间承诺:每完全满足一个评审标准得1分，满分3分；③服务人员保密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（1）服务商具有与本项目相关的门户网站群管理、内容管理、信息发布、信息公开、运维监管、智能问答等相关软件产品著作权证书的，每提供一个得1分，共计6分。 （2）服务商具有ISO27001信息安全管理体系认证、DCMM数据管理能力成熟度认证证书，每提供1个得2分，共计4分。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服务商需提供2022年1月1日至今承担过类似项目业绩，每个业绩计2分，最高计10分。 注：类似业绩以合同签订时间为准，未提供或不清晰导致无法识别的不予以认可。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2.满足磋商文件实质性要求且最后报价最低的供应商的价格为磋商基准价，其价格分为满分10分。 3.磋商报价得分=(磋商基准价/最终磋商报价）×10的公式计算得分。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