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86C9C">
      <w:pPr>
        <w:pStyle w:val="5"/>
        <w:jc w:val="center"/>
        <w:outlineLvl w:val="1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color w:val="auto"/>
          <w:sz w:val="36"/>
        </w:rPr>
        <w:t>拟签订采购合同文本</w:t>
      </w:r>
      <w:r>
        <w:rPr>
          <w:rFonts w:hint="eastAsia" w:ascii="仿宋" w:hAnsi="仿宋" w:eastAsia="仿宋" w:cs="仿宋"/>
          <w:color w:val="auto"/>
        </w:rPr>
        <w:t xml:space="preserve"> </w:t>
      </w:r>
    </w:p>
    <w:p w14:paraId="210BF8CF">
      <w:pPr>
        <w:rPr>
          <w:rFonts w:hint="eastAsia" w:ascii="仿宋" w:hAnsi="仿宋" w:eastAsia="仿宋" w:cs="仿宋"/>
          <w:color w:va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lang w:val="en-US" w:eastAsia="zh-Hans"/>
        </w:rPr>
        <w:br w:type="page"/>
      </w:r>
    </w:p>
    <w:p w14:paraId="01046D81">
      <w:pPr>
        <w:widowControl/>
        <w:kinsoku w:val="0"/>
        <w:autoSpaceDE w:val="0"/>
        <w:autoSpaceDN w:val="0"/>
        <w:adjustRightInd w:val="0"/>
        <w:snapToGrid w:val="0"/>
        <w:spacing w:line="266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1"/>
          <w:szCs w:val="21"/>
          <w:lang w:eastAsia="en-US"/>
        </w:rPr>
      </w:pPr>
    </w:p>
    <w:p w14:paraId="2304C2D2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05" w:firstLineChars="10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u w:val="single" w:color="auto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napToGrid w:val="0"/>
          <w:color w:val="auto"/>
          <w:spacing w:val="-18"/>
          <w:kern w:val="0"/>
          <w:sz w:val="24"/>
          <w:szCs w:val="24"/>
          <w:lang w:val="en-US" w:eastAsia="en-US" w:bidi="ar-SA"/>
        </w:rPr>
        <w:t>甲方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18"/>
          <w:kern w:val="0"/>
          <w:sz w:val="24"/>
          <w:szCs w:val="24"/>
          <w:lang w:val="en-US" w:eastAsia="zh-CN" w:bidi="ar-SA"/>
        </w:rPr>
        <w:t>（承租方）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18"/>
          <w:kern w:val="0"/>
          <w:sz w:val="24"/>
          <w:szCs w:val="24"/>
          <w:lang w:val="en-US" w:eastAsia="en-US" w:bidi="ar-SA"/>
        </w:rPr>
        <w:t>：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u w:val="single" w:color="auto"/>
          <w:lang w:val="en-US" w:eastAsia="en-US" w:bidi="ar-SA"/>
        </w:rPr>
        <w:t xml:space="preserve"> 西安市未央区科学技术局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u w:val="single" w:color="auto"/>
          <w:lang w:val="en-US" w:eastAsia="zh-CN" w:bidi="ar-SA"/>
        </w:rPr>
        <w:t xml:space="preserve"> </w:t>
      </w:r>
    </w:p>
    <w:p w14:paraId="08584C3C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4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13"/>
          <w:kern w:val="0"/>
          <w:sz w:val="24"/>
          <w:szCs w:val="24"/>
          <w:lang w:val="en-US" w:eastAsia="en-US" w:bidi="ar-SA"/>
        </w:rPr>
        <w:t>乙方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13"/>
          <w:kern w:val="0"/>
          <w:sz w:val="24"/>
          <w:szCs w:val="24"/>
          <w:lang w:val="en-US" w:eastAsia="zh-CN" w:bidi="ar-SA"/>
        </w:rPr>
        <w:t>（出租方）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13"/>
          <w:kern w:val="0"/>
          <w:sz w:val="24"/>
          <w:szCs w:val="24"/>
          <w:lang w:val="en-US" w:eastAsia="en-US" w:bidi="ar-SA"/>
        </w:rPr>
        <w:t>：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13"/>
          <w:kern w:val="0"/>
          <w:sz w:val="24"/>
          <w:szCs w:val="24"/>
          <w:u w:val="single"/>
          <w:lang w:val="en-US" w:eastAsia="zh-CN" w:bidi="ar-SA"/>
        </w:rPr>
        <w:t xml:space="preserve">                             </w:t>
      </w:r>
    </w:p>
    <w:p w14:paraId="2DF9048F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26" w:right="26" w:firstLine="601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依据《中华人民共和国民法典》及其他有关法律法规，遵循</w:t>
      </w: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平等、</w:t>
      </w:r>
      <w:r>
        <w:rPr>
          <w:rFonts w:hint="eastAsia" w:ascii="仿宋" w:hAnsi="仿宋" w:eastAsia="仿宋" w:cs="仿宋"/>
          <w:snapToGrid w:val="0"/>
          <w:color w:val="auto"/>
          <w:spacing w:val="-5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自愿、公平和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诚实信用的原则，甲、乙双方就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 xml:space="preserve">     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   </w:t>
      </w:r>
      <w:r>
        <w:rPr>
          <w:rFonts w:hint="eastAsia" w:ascii="仿宋" w:hAnsi="仿宋" w:eastAsia="仿宋" w:cs="仿宋"/>
          <w:snapToGrid w:val="0"/>
          <w:color w:val="auto"/>
          <w:spacing w:val="-102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相关事项达成一致意见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zh-CN" w:bidi="ar-SA"/>
        </w:rPr>
        <w:t>，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订立本合同。</w:t>
      </w:r>
    </w:p>
    <w:p w14:paraId="641CDB59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35"/>
        <w:jc w:val="left"/>
        <w:textAlignment w:val="baseline"/>
        <w:outlineLvl w:val="1"/>
        <w:rPr>
          <w:rFonts w:hint="eastAsia" w:ascii="仿宋" w:hAnsi="仿宋" w:eastAsia="仿宋" w:cs="仿宋"/>
          <w:b/>
          <w:bCs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5"/>
          <w:kern w:val="0"/>
          <w:sz w:val="24"/>
          <w:szCs w:val="24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经营场所基本信息</w:t>
      </w:r>
    </w:p>
    <w:p w14:paraId="6C8FA5C5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72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位置及面积: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zh-CN" w:bidi="ar-SA"/>
        </w:rPr>
        <w:t>甲方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承租的经营场所位于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，面积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，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zh-CN" w:bidi="ar-SA"/>
        </w:rPr>
        <w:t>用途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，具体租赁位置见图纸，以现状交付。</w:t>
      </w:r>
    </w:p>
    <w:p w14:paraId="6B9394EB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35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二、项目租赁期限</w:t>
      </w:r>
    </w:p>
    <w:p w14:paraId="6A7E1990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08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本项目租赁期限为：</w:t>
      </w: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zh-CN" w:bidi="ar-SA"/>
        </w:rPr>
        <w:t>2</w:t>
      </w:r>
      <w:r>
        <w:rPr>
          <w:rFonts w:hint="eastAsia" w:ascii="仿宋" w:hAnsi="仿宋" w:eastAsia="仿宋" w:cs="仿宋"/>
          <w:snapToGrid w:val="0"/>
          <w:color w:val="auto"/>
          <w:spacing w:val="-30"/>
          <w:kern w:val="0"/>
          <w:sz w:val="24"/>
          <w:szCs w:val="24"/>
          <w:u w:val="single" w:color="auto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年</w:t>
      </w: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zh-CN" w:bidi="ar-SA"/>
        </w:rPr>
        <w:t>（合同一年一签）</w:t>
      </w: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。</w:t>
      </w:r>
    </w:p>
    <w:p w14:paraId="53FAABE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34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三、合同文件及解释</w:t>
      </w:r>
    </w:p>
    <w:p w14:paraId="0920A0B1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1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合同协议书</w:t>
      </w:r>
    </w:p>
    <w:p w14:paraId="036DA534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11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成交通知书</w:t>
      </w:r>
    </w:p>
    <w:p w14:paraId="7D32729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1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单一来源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zh-CN" w:bidi="ar-SA"/>
        </w:rPr>
        <w:t>采购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文件及澄清补遗文件</w:t>
      </w:r>
    </w:p>
    <w:p w14:paraId="48A00682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11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成交单位响应文件</w:t>
      </w:r>
    </w:p>
    <w:p w14:paraId="145B45EC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08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技术标准、规范。</w:t>
      </w:r>
    </w:p>
    <w:p w14:paraId="66ADF8A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0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其他合同文件</w:t>
      </w:r>
    </w:p>
    <w:p w14:paraId="1312BE05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55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四、合同价款、结算与支付</w:t>
      </w:r>
    </w:p>
    <w:p w14:paraId="57F51F11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17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1、合同价款</w:t>
      </w:r>
    </w:p>
    <w:p w14:paraId="0E1AF120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59" w:right="26" w:firstLine="44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本合同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zh-CN" w:bidi="ar-SA"/>
        </w:rPr>
        <w:t>总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价为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51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zh-CN" w:bidi="ar-SA"/>
        </w:rPr>
        <w:t>¥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 xml:space="preserve">            （人民币大写：         )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该合同总价包括承接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甲方项目所承担的全过程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highlight w:val="none"/>
          <w:lang w:val="en-US" w:eastAsia="en-US" w:bidi="ar-SA"/>
        </w:rPr>
        <w:t>的一切费用；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highlight w:val="none"/>
          <w:lang w:val="en-US" w:eastAsia="zh-CN" w:bidi="ar-SA"/>
        </w:rPr>
        <w:t>房屋租金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highlight w:val="none"/>
          <w:lang w:val="en-US" w:eastAsia="en-US" w:bidi="ar-SA"/>
        </w:rPr>
        <w:t>每月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highlight w:val="none"/>
          <w:u w:val="single" w:color="auto"/>
          <w:lang w:val="en-US" w:eastAsia="en-US" w:bidi="ar-SA"/>
        </w:rPr>
        <w:t xml:space="preserve">    </w:t>
      </w:r>
      <w:r>
        <w:rPr>
          <w:rFonts w:hint="eastAsia" w:ascii="仿宋" w:hAnsi="仿宋" w:eastAsia="仿宋" w:cs="仿宋"/>
          <w:snapToGrid w:val="0"/>
          <w:color w:val="auto"/>
          <w:spacing w:val="-93"/>
          <w:kern w:val="0"/>
          <w:sz w:val="24"/>
          <w:szCs w:val="24"/>
          <w:highlight w:val="none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highlight w:val="none"/>
          <w:lang w:val="en-US" w:eastAsia="en-US" w:bidi="ar-SA"/>
        </w:rPr>
        <w:t>元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highlight w:val="none"/>
          <w:lang w:val="en-US" w:eastAsia="zh-CN" w:bidi="ar-SA"/>
        </w:rPr>
        <w:t>，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lang w:val="en-US" w:eastAsia="zh-CN" w:bidi="ar-SA"/>
        </w:rPr>
        <w:t>综合单价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lang w:val="en-US" w:eastAsia="zh-CN" w:bidi="ar-SA"/>
        </w:rPr>
        <w:t>元/平方米/月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lang w:val="en-US" w:eastAsia="en-US" w:bidi="ar-SA"/>
        </w:rPr>
        <w:t>。</w:t>
      </w:r>
    </w:p>
    <w:p w14:paraId="772CFF69"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6" w:rightChars="0" w:firstLine="476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u w:val="single" w:color="auto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lang w:val="en-US" w:eastAsia="zh-CN" w:bidi="ar-SA"/>
        </w:rPr>
        <w:t>2、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lang w:val="en-US" w:eastAsia="en-US" w:bidi="ar-SA"/>
        </w:rPr>
        <w:t>付款方式: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u w:val="single" w:color="auto"/>
          <w:lang w:val="en-US" w:eastAsia="en-US" w:bidi="ar-SA"/>
        </w:rPr>
        <w:t xml:space="preserve"> 合同签订后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u w:val="single" w:color="auto"/>
          <w:lang w:val="en-US" w:eastAsia="zh-CN" w:bidi="ar-SA"/>
        </w:rPr>
        <w:t>，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u w:val="single" w:color="auto"/>
          <w:lang w:val="en-US" w:eastAsia="en-US" w:bidi="ar-SA"/>
        </w:rPr>
        <w:t>支付合同总金额的 50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u w:val="single" w:color="auto"/>
          <w:lang w:val="en-US" w:eastAsia="zh-CN" w:bidi="ar-SA"/>
        </w:rPr>
        <w:t>%；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u w:val="single" w:color="auto"/>
          <w:lang w:val="en-US" w:eastAsia="en-US" w:bidi="ar-SA"/>
        </w:rPr>
        <w:t>租赁满半年后，支付合同总金额的50%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u w:val="single" w:color="auto"/>
          <w:lang w:val="en-US" w:eastAsia="zh-CN" w:bidi="ar-SA"/>
        </w:rPr>
        <w:t>。</w:t>
      </w:r>
    </w:p>
    <w:p w14:paraId="07BD4BAD">
      <w:pPr>
        <w:keepNext w:val="0"/>
        <w:keepLines w:val="0"/>
        <w:pageBreakBefore w:val="0"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26" w:firstLine="420" w:firstLineChars="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u w:val="none" w:color="auto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u w:val="none" w:color="auto"/>
          <w:lang w:val="en-US" w:eastAsia="zh-CN" w:bidi="ar-SA"/>
        </w:rPr>
        <w:t>其他费用</w:t>
      </w:r>
    </w:p>
    <w:p w14:paraId="486249B5"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6" w:rightChars="0" w:firstLine="476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u w:val="none" w:color="auto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u w:val="none" w:color="auto"/>
          <w:lang w:val="en-US" w:eastAsia="zh-CN" w:bidi="ar-SA"/>
        </w:rPr>
        <w:t>3.1承租方所缴费用中包含空调使用费。</w:t>
      </w:r>
    </w:p>
    <w:p w14:paraId="0969E9EF"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6" w:rightChars="0" w:firstLine="476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u w:val="none" w:color="auto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u w:val="none" w:color="auto"/>
          <w:lang w:val="en-US" w:eastAsia="zh-CN" w:bidi="ar-SA"/>
        </w:rPr>
        <w:t>3.2 出租方根据属地供水、供电、供气部门的收费价格加公用损耗，参照周边同类企业的水电费标准，收缴相关费用。</w:t>
      </w:r>
    </w:p>
    <w:p w14:paraId="704B7276"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6" w:rightChars="0" w:firstLine="476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u w:val="none" w:color="auto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highlight w:val="none"/>
          <w:u w:val="none" w:color="auto"/>
          <w:lang w:val="en-US" w:eastAsia="zh-CN" w:bidi="ar-SA"/>
        </w:rPr>
        <w:t>3.3经营过程中，承租方应按照出租方规定的相关收费标准，按时足额缴纳产品垃圾费、停车服务费等其他费用。</w:t>
      </w:r>
    </w:p>
    <w:p w14:paraId="44DEA53C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8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五、权利与义务</w:t>
      </w:r>
    </w:p>
    <w:p w14:paraId="55D9DE02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9"/>
        <w:jc w:val="left"/>
        <w:textAlignment w:val="baseline"/>
        <w:outlineLvl w:val="2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（一）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出租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4"/>
          <w:kern w:val="0"/>
          <w:sz w:val="24"/>
          <w:szCs w:val="24"/>
          <w:highlight w:val="none"/>
          <w:lang w:val="en-US" w:eastAsia="en-US" w:bidi="ar-SA"/>
        </w:rPr>
        <w:t>方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的权利与义务</w:t>
      </w:r>
    </w:p>
    <w:p w14:paraId="3189AC4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9" w:firstLine="47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zh-CN" w:bidi="ar-SA"/>
        </w:rPr>
        <w:t>1、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负责交付时设施完好及日常房屋建筑的维修、养护和管理，包括：楼面、承重结构、楼梯间、走廊通道、门厅。</w:t>
      </w:r>
    </w:p>
    <w:p w14:paraId="28CD864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6" w:firstLine="475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zh-CN" w:bidi="ar-SA"/>
        </w:rPr>
        <w:t>2、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负责对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zh-CN" w:bidi="ar-SA"/>
        </w:rPr>
        <w:t>出租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的经营场所内固有资产非人为原因造成的损坏、漏雨、门窗坏损</w:t>
      </w: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进行维修。</w:t>
      </w:r>
    </w:p>
    <w:p w14:paraId="4C0B0C97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  <w:highlight w:val="none"/>
          <w:lang w:val="en-US" w:eastAsia="en-US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en-US"/>
        </w:rPr>
        <w:t>负责公共设施、设备的维护和保养、运行和管理，包括：上下水管线、雨水管线、公用照明、中央空调、高低压配电、楼内公共部分消防设施及设备、扶梯和观光电梯。</w:t>
      </w:r>
    </w:p>
    <w:p w14:paraId="75DE63E6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1" w:firstLine="47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zh-CN" w:bidi="ar-SA"/>
        </w:rPr>
        <w:t>4、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负责公用场地建筑物、构筑物的维护、保养和管理。包括室外上下水管道、化</w:t>
      </w: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粪池、排水沟、停车场。</w:t>
      </w:r>
    </w:p>
    <w:p w14:paraId="58601EC6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8" w:firstLine="46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zh-CN" w:bidi="ar-SA"/>
        </w:rPr>
        <w:t>5、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负责室内外绿化的养护和管理，负责室外广场交通与车辆停放秩序及治安巡逻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-10"/>
          <w:kern w:val="0"/>
          <w:sz w:val="24"/>
          <w:szCs w:val="24"/>
          <w:lang w:val="en-US" w:eastAsia="en-US" w:bidi="ar-SA"/>
        </w:rPr>
        <w:t>管理。</w:t>
      </w:r>
    </w:p>
    <w:p w14:paraId="404F1B7A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9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zh-CN" w:bidi="ar-SA"/>
        </w:rPr>
        <w:t>6、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负责其他服务设施的改进和完善。</w:t>
      </w:r>
    </w:p>
    <w:p w14:paraId="7D6CBD2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5" w:right="2" w:firstLine="476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zh-CN" w:bidi="ar-SA"/>
        </w:rPr>
        <w:t>7、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在租赁期间，不得对所出租的商铺设定抵押，并保证所出租商铺权属清楚，无</w:t>
      </w: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使用权之纠纷。</w:t>
      </w:r>
    </w:p>
    <w:p w14:paraId="2681055E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6" w:right="2" w:firstLine="475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zh-CN" w:bidi="ar-SA"/>
        </w:rPr>
        <w:t>8、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在租赁期间，承租方所缴纳的交于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zh-CN" w:bidi="ar-SA"/>
        </w:rPr>
        <w:t>出租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方的各种费用，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zh-CN" w:bidi="ar-SA"/>
        </w:rPr>
        <w:t>出租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方应给承租方开具</w:t>
      </w: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相应合规的发票。</w:t>
      </w:r>
    </w:p>
    <w:p w14:paraId="5DC23AA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9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zh-CN" w:bidi="ar-SA"/>
        </w:rPr>
        <w:t>9、出租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方应于本协议签署后5日内，将双方约定的承租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zh-CN" w:bidi="ar-SA"/>
        </w:rPr>
        <w:t>房屋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交付承租方。</w:t>
      </w:r>
    </w:p>
    <w:p w14:paraId="1DA02233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9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zh-CN" w:bidi="ar-SA"/>
        </w:rPr>
        <w:t>10、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出租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负责完善消防相关手续，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方需协助配合。</w:t>
      </w:r>
    </w:p>
    <w:p w14:paraId="3E47BC09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9"/>
        <w:jc w:val="left"/>
        <w:textAlignment w:val="baseline"/>
        <w:outlineLvl w:val="2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（二）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方的权利与义务</w:t>
      </w:r>
    </w:p>
    <w:p w14:paraId="001AD56E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是其所租赁场所及该场所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eastAsia="zh-CN"/>
        </w:rPr>
        <w:t>内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公共区域安全事务的第一责任人。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承租经营场所内人员的安全教育及安全管理由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负责。同时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需配合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出租方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对各类安全的监管工作。</w:t>
      </w:r>
    </w:p>
    <w:p w14:paraId="35C0AF65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应做好防火安全措施，确保每间房配备不少于8公斤ABC干粉灭火器；确保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租赁场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所内全天24小时严禁存放电动车、独立电瓶及其他易燃易爆品；禁止店铺内出现使用明火、违规用电或为电动车充电等各类违规操作行为。</w:t>
      </w:r>
    </w:p>
    <w:p w14:paraId="0EF39801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因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管理不善或操作不当等原因造成各类安全事故的，因此产生的所有损失由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自行承担，给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出租方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、消费者或其他第三方造成的伤害及一切损失，均由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承担全部责任并负责善后处理，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出租方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不负任何连带责任。</w:t>
      </w:r>
    </w:p>
    <w:p w14:paraId="6F363645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在租期内应妥善使用经营场所，爱护和维护相关配套设施。任何原因致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租赁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无法履行或终止的，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均需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无条件将经营场所内装修恢复至交付时的原貌，并经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出租方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验收合格方可视为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交还经营场所。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应于在向出租方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交还场所前，搬离并清理完毕场所内全部家具物品，恢复场所原状。逾期视为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放弃场所内全部设施和家具物品，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出租方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可自行聘请第三方搬离清理，并可向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主张因此产生的相关费用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eastAsia="zh-CN"/>
        </w:rPr>
        <w:t>。</w:t>
      </w:r>
    </w:p>
    <w:p w14:paraId="14CEF14D"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在租赁期间，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发现该房屋及其附属设施有损坏或故障，通知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出租方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处理、维修时，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出租方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应在接到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通知后的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日内进行维修。逾期不维修的，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可代为维修费用由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出租方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</w:rPr>
        <w:t>负责承担。</w:t>
      </w:r>
    </w:p>
    <w:p w14:paraId="1760B327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b/>
          <w:bCs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六、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违约责任</w:t>
      </w:r>
    </w:p>
    <w:p w14:paraId="30AB4E36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64" w:firstLineChars="200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1、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甲、乙双方任何一方违约的，应当支付一年租金的百分之二十作为违约金。</w:t>
      </w:r>
    </w:p>
    <w:p w14:paraId="297338D0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64" w:firstLineChars="200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2、合同履行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期间,如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出租方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因该商铺或范围内的土地与第三方发生纠纷或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出租方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与第三人之间的纠纷涉及到该商铺及其范围内的土地，致使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承租方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无法继续正常使用的，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出租方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应承担违约责任并赔偿由此给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承租方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造成的各项经济损失。</w:t>
      </w:r>
    </w:p>
    <w:p w14:paraId="5131A35B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64" w:firstLineChars="200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3、合同履行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期间，如费用及其他费用到期未付、延后或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承租方单方面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提出终止合同的，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承租方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应承担违约责任并赔偿由此给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出租方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造成的各项经济损失。</w:t>
      </w:r>
    </w:p>
    <w:p w14:paraId="2A4F2E5E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3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6"/>
          <w:kern w:val="0"/>
          <w:sz w:val="24"/>
          <w:szCs w:val="24"/>
          <w:lang w:val="en-US" w:eastAsia="zh-CN" w:bidi="ar-SA"/>
        </w:rPr>
        <w:t>七、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项目验收</w:t>
      </w:r>
    </w:p>
    <w:p w14:paraId="60E10F9B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1" w:right="65" w:firstLine="47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1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zh-CN" w:bidi="ar-SA"/>
        </w:rPr>
        <w:t>、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验收：由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zh-CN" w:bidi="ar-SA"/>
        </w:rPr>
        <w:t>承租方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、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zh-CN" w:bidi="ar-SA"/>
        </w:rPr>
        <w:t>出租方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 xml:space="preserve">双方按使用要求对项目房屋状况进行验收。在所有验收项全部达到相应要求后，双方签署《房屋交接单》。 </w:t>
      </w:r>
    </w:p>
    <w:p w14:paraId="328EA05A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1" w:right="65" w:firstLine="47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2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zh-CN" w:bidi="ar-SA"/>
        </w:rPr>
        <w:t>、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验收不合格的，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zh-CN" w:bidi="ar-SA"/>
        </w:rPr>
        <w:t>出租方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必须在接到通知后7个日历日内确保场地通过验收。如接到通知后7个日历日内验收仍不合格，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zh-CN" w:bidi="ar-SA"/>
        </w:rPr>
        <w:t>承租方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可提出索赔。</w:t>
      </w:r>
    </w:p>
    <w:p w14:paraId="7879CAE6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1"/>
        <w:jc w:val="left"/>
        <w:textAlignment w:val="baseline"/>
        <w:outlineLvl w:val="1"/>
        <w:rPr>
          <w:rFonts w:hint="eastAsia" w:ascii="仿宋" w:hAnsi="仿宋" w:eastAsia="仿宋" w:cs="仿宋"/>
          <w:b/>
          <w:bCs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6"/>
          <w:kern w:val="0"/>
          <w:sz w:val="24"/>
          <w:szCs w:val="24"/>
          <w:lang w:val="en-US" w:eastAsia="zh-CN" w:bidi="ar-SA"/>
        </w:rPr>
        <w:t>八、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免责事项</w:t>
      </w:r>
    </w:p>
    <w:p w14:paraId="25A541ED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64" w:firstLineChars="200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1、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发生不可抗力因素(如地震、战争、自然灾害、公共卫生事件等)，致使合同无法继续履行，双方互不承担责任，本合同自行失效。</w:t>
      </w:r>
    </w:p>
    <w:p w14:paraId="229D8C3A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64" w:firstLineChars="200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>2、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因供电局统一限电、供水故障、维修、网信部门通讯故障、停车系统断网维修等情形对乙方产生的影响或损失，甲方无需承担。</w:t>
      </w:r>
    </w:p>
    <w:p w14:paraId="1DDDA3F3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1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6"/>
          <w:kern w:val="0"/>
          <w:sz w:val="24"/>
          <w:szCs w:val="24"/>
          <w:lang w:val="en-US" w:eastAsia="zh-CN" w:bidi="ar-SA"/>
        </w:rPr>
        <w:t>九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、争议解决</w:t>
      </w:r>
    </w:p>
    <w:p w14:paraId="0567D6E9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3" w:firstLine="458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合同各方应本着诚信的态度及共同合作的精神，通过协商及谈判来努力</w:t>
      </w: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解决由本合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同而产生的或与本合同有关（包括本合同项下某一特定货物买卖合同）的任何争议及不</w:t>
      </w:r>
      <w:r>
        <w:rPr>
          <w:rFonts w:hint="eastAsia" w:ascii="仿宋" w:hAnsi="仿宋" w:eastAsia="仿宋" w:cs="仿宋"/>
          <w:snapToGrid w:val="0"/>
          <w:color w:val="auto"/>
          <w:spacing w:val="16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同意见。协商、谈判不能解决的，任何一方均有权向甲方所在地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人民法院提起诉讼。</w:t>
      </w:r>
    </w:p>
    <w:p w14:paraId="04FAA4A9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1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十、通知和合同修改</w:t>
      </w:r>
    </w:p>
    <w:p w14:paraId="4277876E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1" w:firstLine="47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本合同一方给另一方的通知，都应以书面的形式（信函、传真）发送至对方，对本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合同条款进行任何改动，均须由甲乙双方签署书面合同修改或经济签证，方为有效。</w:t>
      </w:r>
    </w:p>
    <w:p w14:paraId="4009B14A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1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十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6"/>
          <w:kern w:val="0"/>
          <w:sz w:val="24"/>
          <w:szCs w:val="24"/>
          <w:lang w:val="en-US" w:eastAsia="zh-CN" w:bidi="ar-SA"/>
        </w:rPr>
        <w:t>一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、其他规定</w:t>
      </w:r>
    </w:p>
    <w:p w14:paraId="331C9F7A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5" w:firstLine="48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zh-CN" w:bidi="ar-SA"/>
        </w:rPr>
        <w:t>1、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本协议的附件为本协议不可分割的部分，与本协议正文具有同等的法律效力。协议</w:t>
      </w:r>
      <w:r>
        <w:rPr>
          <w:rFonts w:hint="eastAsia" w:ascii="仿宋" w:hAnsi="仿宋" w:eastAsia="仿宋" w:cs="仿宋"/>
          <w:snapToGrid w:val="0"/>
          <w:color w:val="auto"/>
          <w:spacing w:val="1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附件与本协议约定不一致的，以本协议的约定为准，除非双方一致同意并以书面形式表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示以协议附件为准。</w:t>
      </w:r>
    </w:p>
    <w:p w14:paraId="5A18A74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95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zh-CN" w:bidi="ar-SA"/>
        </w:rPr>
        <w:t>2、</w:t>
      </w: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本合同一式</w:t>
      </w: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 xml:space="preserve">     </w:t>
      </w:r>
      <w:r>
        <w:rPr>
          <w:rFonts w:hint="eastAsia" w:ascii="仿宋" w:hAnsi="仿宋" w:eastAsia="仿宋" w:cs="仿宋"/>
          <w:snapToGrid w:val="0"/>
          <w:color w:val="auto"/>
          <w:spacing w:val="-88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份，具有同等效力。</w:t>
      </w:r>
      <w:r>
        <w:rPr>
          <w:rFonts w:hint="eastAsia" w:ascii="仿宋" w:hAnsi="仿宋" w:eastAsia="仿宋" w:cs="仿宋"/>
          <w:snapToGrid w:val="0"/>
          <w:color w:val="auto"/>
          <w:spacing w:val="-5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自双方盖章之日起生效。</w:t>
      </w:r>
    </w:p>
    <w:p w14:paraId="26ACE37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95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zh-CN" w:bidi="ar-SA"/>
        </w:rPr>
        <w:t>3、</w:t>
      </w: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本合同的订立、履行、变更、终止、解释等均适用中华人民共和国法律。</w:t>
      </w:r>
    </w:p>
    <w:p w14:paraId="2D4B25F4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8" w:firstLine="466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zh-CN" w:bidi="ar-SA"/>
        </w:rPr>
        <w:t>4、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本合同未尽事宜由双方共同协商，另行订立补充协议，补充协议与本协议具有同样的法律效力。如果本合同之附件与本合同规定不符,</w:t>
      </w:r>
      <w:r>
        <w:rPr>
          <w:rFonts w:hint="eastAsia" w:ascii="仿宋" w:hAnsi="仿宋" w:eastAsia="仿宋" w:cs="仿宋"/>
          <w:snapToGrid w:val="0"/>
          <w:color w:val="auto"/>
          <w:spacing w:val="4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以</w:t>
      </w: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本合同规定为准。</w:t>
      </w:r>
    </w:p>
    <w:p w14:paraId="3562340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（以下无正文）</w:t>
      </w:r>
    </w:p>
    <w:p w14:paraId="092FDAE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8" w:firstLine="466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sectPr>
          <w:headerReference r:id="rId3" w:type="default"/>
          <w:footerReference r:id="rId4" w:type="default"/>
          <w:pgSz w:w="11900" w:h="16840"/>
          <w:pgMar w:top="1374" w:right="1416" w:bottom="1094" w:left="1417" w:header="1019" w:footer="888" w:gutter="0"/>
          <w:cols w:space="720" w:num="1"/>
        </w:sectPr>
      </w:pPr>
    </w:p>
    <w:p w14:paraId="288EAFA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23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 xml:space="preserve">甲方：  </w:t>
      </w:r>
      <w:r>
        <w:rPr>
          <w:rFonts w:hint="eastAsia" w:ascii="仿宋" w:hAnsi="仿宋" w:eastAsia="仿宋" w:cs="仿宋"/>
          <w:snapToGrid w:val="0"/>
          <w:color w:val="auto"/>
          <w:spacing w:val="2"/>
          <w:kern w:val="0"/>
          <w:sz w:val="24"/>
          <w:szCs w:val="24"/>
          <w:lang w:val="en-US" w:eastAsia="en-US" w:bidi="ar-SA"/>
        </w:rPr>
        <w:t>（盖章</w:t>
      </w:r>
      <w:r>
        <w:rPr>
          <w:rFonts w:hint="eastAsia" w:ascii="仿宋" w:hAnsi="仿宋" w:eastAsia="仿宋" w:cs="仿宋"/>
          <w:snapToGrid w:val="0"/>
          <w:color w:val="auto"/>
          <w:spacing w:val="-17"/>
          <w:kern w:val="0"/>
          <w:sz w:val="24"/>
          <w:szCs w:val="24"/>
          <w:lang w:val="en-US" w:eastAsia="en-US" w:bidi="ar-SA"/>
        </w:rPr>
        <w:t>）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 xml:space="preserve">    </w:t>
      </w:r>
      <w:r>
        <w:rPr>
          <w:rFonts w:hint="eastAsia" w:ascii="仿宋" w:hAnsi="仿宋" w:eastAsia="仿宋" w:cs="仿宋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 xml:space="preserve">                     乙方：</w:t>
      </w:r>
      <w:r>
        <w:rPr>
          <w:rFonts w:hint="eastAsia" w:ascii="仿宋" w:hAnsi="仿宋" w:eastAsia="仿宋" w:cs="仿宋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snapToGrid w:val="0"/>
          <w:color w:val="auto"/>
          <w:spacing w:val="-17"/>
          <w:kern w:val="0"/>
          <w:sz w:val="24"/>
          <w:szCs w:val="24"/>
          <w:lang w:val="en-US" w:eastAsia="en-US" w:bidi="ar-SA"/>
        </w:rPr>
        <w:t>（</w:t>
      </w:r>
      <w:r>
        <w:rPr>
          <w:rFonts w:hint="eastAsia" w:ascii="仿宋" w:hAnsi="仿宋" w:eastAsia="仿宋" w:cs="仿宋"/>
          <w:snapToGrid w:val="0"/>
          <w:color w:val="auto"/>
          <w:spacing w:val="2"/>
          <w:kern w:val="0"/>
          <w:sz w:val="24"/>
          <w:szCs w:val="24"/>
          <w:lang w:val="en-US" w:eastAsia="en-US" w:bidi="ar-SA"/>
        </w:rPr>
        <w:t>盖章）</w:t>
      </w:r>
    </w:p>
    <w:p w14:paraId="13D8A9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1"/>
          <w:szCs w:val="21"/>
          <w:lang w:eastAsia="en-US"/>
        </w:rPr>
      </w:pPr>
    </w:p>
    <w:p w14:paraId="6F5C6D93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4"/>
          <w:szCs w:val="24"/>
          <w:lang w:val="en-US" w:eastAsia="en-US" w:bidi="ar-SA"/>
        </w:rPr>
        <w:t xml:space="preserve">                      </w:t>
      </w:r>
    </w:p>
    <w:p w14:paraId="52219C2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1"/>
          <w:szCs w:val="21"/>
          <w:lang w:eastAsia="en-US"/>
        </w:rPr>
      </w:pPr>
    </w:p>
    <w:p w14:paraId="46A7F73E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法定代表人或委托代理人：                法定代表人或委托代理人：</w:t>
      </w:r>
    </w:p>
    <w:p w14:paraId="683345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1"/>
          <w:szCs w:val="21"/>
          <w:lang w:eastAsia="en-US"/>
        </w:rPr>
      </w:pPr>
    </w:p>
    <w:p w14:paraId="4E5C57E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26" w:firstLineChars="30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1"/>
          <w:kern w:val="0"/>
          <w:sz w:val="24"/>
          <w:szCs w:val="24"/>
          <w:lang w:val="en-US" w:eastAsia="en-US" w:bidi="ar-SA"/>
        </w:rPr>
        <w:t>（签字或盖章</w:t>
      </w:r>
      <w:r>
        <w:rPr>
          <w:rFonts w:hint="eastAsia" w:ascii="仿宋" w:hAnsi="仿宋" w:eastAsia="仿宋" w:cs="仿宋"/>
          <w:snapToGrid w:val="0"/>
          <w:color w:val="auto"/>
          <w:spacing w:val="-17"/>
          <w:kern w:val="0"/>
          <w:sz w:val="24"/>
          <w:szCs w:val="24"/>
          <w:lang w:val="en-US" w:eastAsia="en-US" w:bidi="ar-SA"/>
        </w:rPr>
        <w:t>）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24"/>
          <w:szCs w:val="24"/>
          <w:lang w:val="en-US" w:eastAsia="en-US" w:bidi="ar-SA"/>
        </w:rPr>
        <w:t xml:space="preserve">                       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-17"/>
          <w:kern w:val="0"/>
          <w:sz w:val="24"/>
          <w:szCs w:val="24"/>
          <w:lang w:val="en-US" w:eastAsia="en-US" w:bidi="ar-SA"/>
        </w:rPr>
        <w:t>（</w:t>
      </w:r>
      <w:r>
        <w:rPr>
          <w:rFonts w:hint="eastAsia" w:ascii="仿宋" w:hAnsi="仿宋" w:eastAsia="仿宋" w:cs="仿宋"/>
          <w:snapToGrid w:val="0"/>
          <w:color w:val="auto"/>
          <w:spacing w:val="1"/>
          <w:kern w:val="0"/>
          <w:sz w:val="24"/>
          <w:szCs w:val="24"/>
          <w:lang w:val="en-US" w:eastAsia="en-US" w:bidi="ar-SA"/>
        </w:rPr>
        <w:t>签字或盖章）</w:t>
      </w:r>
    </w:p>
    <w:p w14:paraId="36213E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1"/>
          <w:szCs w:val="21"/>
          <w:lang w:eastAsia="en-US"/>
        </w:rPr>
      </w:pPr>
    </w:p>
    <w:p w14:paraId="0B3A4A3A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5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>地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4"/>
          <w:szCs w:val="24"/>
          <w:lang w:val="en-US" w:eastAsia="en-US" w:bidi="ar-SA"/>
        </w:rPr>
        <w:t xml:space="preserve">    </w:t>
      </w:r>
      <w:r>
        <w:rPr>
          <w:rFonts w:hint="eastAsia" w:ascii="仿宋" w:hAnsi="仿宋" w:eastAsia="仿宋" w:cs="仿宋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 xml:space="preserve">址:                         </w:t>
      </w:r>
      <w:r>
        <w:rPr>
          <w:rFonts w:hint="eastAsia" w:ascii="仿宋" w:hAnsi="仿宋" w:eastAsia="仿宋" w:cs="仿宋"/>
          <w:snapToGrid w:val="0"/>
          <w:color w:val="auto"/>
          <w:spacing w:val="-8"/>
          <w:kern w:val="0"/>
          <w:sz w:val="24"/>
          <w:szCs w:val="24"/>
          <w:lang w:val="en-US" w:eastAsia="en-US" w:bidi="ar-SA"/>
        </w:rPr>
        <w:t xml:space="preserve">          地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4"/>
          <w:szCs w:val="24"/>
          <w:lang w:val="en-US" w:eastAsia="en-US" w:bidi="ar-SA"/>
        </w:rPr>
        <w:t xml:space="preserve">    </w:t>
      </w:r>
      <w:r>
        <w:rPr>
          <w:rFonts w:hint="eastAsia" w:ascii="仿宋" w:hAnsi="仿宋" w:eastAsia="仿宋" w:cs="仿宋"/>
          <w:snapToGrid w:val="0"/>
          <w:color w:val="auto"/>
          <w:spacing w:val="-8"/>
          <w:kern w:val="0"/>
          <w:sz w:val="24"/>
          <w:szCs w:val="24"/>
          <w:lang w:val="en-US" w:eastAsia="en-US" w:bidi="ar-SA"/>
        </w:rPr>
        <w:t>址：</w:t>
      </w:r>
    </w:p>
    <w:p w14:paraId="123558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1"/>
          <w:szCs w:val="21"/>
          <w:lang w:eastAsia="en-US"/>
        </w:rPr>
      </w:pPr>
    </w:p>
    <w:p w14:paraId="14E23B5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邮政编码：                                邮政编码：</w:t>
      </w:r>
    </w:p>
    <w:p w14:paraId="5BE3E4F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1"/>
          <w:szCs w:val="21"/>
          <w:lang w:eastAsia="en-US"/>
        </w:rPr>
      </w:pPr>
    </w:p>
    <w:p w14:paraId="5D025FEB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1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14"/>
          <w:kern w:val="0"/>
          <w:sz w:val="24"/>
          <w:szCs w:val="24"/>
          <w:lang w:val="en-US" w:eastAsia="en-US" w:bidi="ar-SA"/>
        </w:rPr>
        <w:t>电</w:t>
      </w:r>
      <w:r>
        <w:rPr>
          <w:rFonts w:hint="eastAsia" w:ascii="仿宋" w:hAnsi="仿宋" w:eastAsia="仿宋" w:cs="仿宋"/>
          <w:snapToGrid w:val="0"/>
          <w:color w:val="auto"/>
          <w:spacing w:val="3"/>
          <w:kern w:val="0"/>
          <w:sz w:val="24"/>
          <w:szCs w:val="24"/>
          <w:lang w:val="en-US" w:eastAsia="en-US" w:bidi="ar-SA"/>
        </w:rPr>
        <w:t xml:space="preserve">    </w:t>
      </w:r>
      <w:r>
        <w:rPr>
          <w:rFonts w:hint="eastAsia" w:ascii="仿宋" w:hAnsi="仿宋" w:eastAsia="仿宋" w:cs="仿宋"/>
          <w:snapToGrid w:val="0"/>
          <w:color w:val="auto"/>
          <w:spacing w:val="-14"/>
          <w:kern w:val="0"/>
          <w:sz w:val="24"/>
          <w:szCs w:val="24"/>
          <w:lang w:val="en-US" w:eastAsia="en-US" w:bidi="ar-SA"/>
        </w:rPr>
        <w:t>话</w:t>
      </w:r>
      <w:r>
        <w:rPr>
          <w:rFonts w:hint="eastAsia" w:ascii="仿宋" w:hAnsi="仿宋" w:eastAsia="仿宋" w:cs="仿宋"/>
          <w:snapToGrid w:val="0"/>
          <w:color w:val="auto"/>
          <w:spacing w:val="-84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-14"/>
          <w:kern w:val="0"/>
          <w:sz w:val="24"/>
          <w:szCs w:val="24"/>
          <w:lang w:val="en-US" w:eastAsia="en-US" w:bidi="ar-SA"/>
        </w:rPr>
        <w:t xml:space="preserve">：                                  </w:t>
      </w:r>
      <w:r>
        <w:rPr>
          <w:rFonts w:hint="eastAsia" w:ascii="仿宋" w:hAnsi="仿宋" w:eastAsia="仿宋" w:cs="仿宋"/>
          <w:snapToGrid w:val="0"/>
          <w:color w:val="auto"/>
          <w:spacing w:val="-14"/>
          <w:kern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snapToGrid w:val="0"/>
          <w:color w:val="auto"/>
          <w:spacing w:val="-14"/>
          <w:kern w:val="0"/>
          <w:sz w:val="24"/>
          <w:szCs w:val="24"/>
          <w:lang w:val="en-US" w:eastAsia="en-US" w:bidi="ar-SA"/>
        </w:rPr>
        <w:t xml:space="preserve">  电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24"/>
          <w:szCs w:val="24"/>
          <w:lang w:val="en-US" w:eastAsia="en-US" w:bidi="ar-SA"/>
        </w:rPr>
        <w:t xml:space="preserve">    </w:t>
      </w:r>
      <w:r>
        <w:rPr>
          <w:rFonts w:hint="eastAsia" w:ascii="仿宋" w:hAnsi="仿宋" w:eastAsia="仿宋" w:cs="仿宋"/>
          <w:snapToGrid w:val="0"/>
          <w:color w:val="auto"/>
          <w:spacing w:val="-14"/>
          <w:kern w:val="0"/>
          <w:sz w:val="24"/>
          <w:szCs w:val="24"/>
          <w:lang w:val="en-US" w:eastAsia="en-US" w:bidi="ar-SA"/>
        </w:rPr>
        <w:t>话：</w:t>
      </w:r>
    </w:p>
    <w:p w14:paraId="0A154A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1"/>
          <w:szCs w:val="21"/>
          <w:lang w:eastAsia="en-US"/>
        </w:rPr>
      </w:pPr>
    </w:p>
    <w:p w14:paraId="4AE8E265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7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11"/>
          <w:kern w:val="0"/>
          <w:sz w:val="24"/>
          <w:szCs w:val="24"/>
          <w:lang w:val="en-US" w:eastAsia="en-US" w:bidi="ar-SA"/>
        </w:rPr>
        <w:t>传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4"/>
          <w:szCs w:val="24"/>
          <w:lang w:val="en-US" w:eastAsia="en-US" w:bidi="ar-SA"/>
        </w:rPr>
        <w:t xml:space="preserve">    </w:t>
      </w:r>
      <w:r>
        <w:rPr>
          <w:rFonts w:hint="eastAsia" w:ascii="仿宋" w:hAnsi="仿宋" w:eastAsia="仿宋" w:cs="仿宋"/>
          <w:snapToGrid w:val="0"/>
          <w:color w:val="auto"/>
          <w:spacing w:val="-11"/>
          <w:kern w:val="0"/>
          <w:sz w:val="24"/>
          <w:szCs w:val="24"/>
          <w:lang w:val="en-US" w:eastAsia="en-US" w:bidi="ar-SA"/>
        </w:rPr>
        <w:t>真</w:t>
      </w:r>
      <w:r>
        <w:rPr>
          <w:rFonts w:hint="eastAsia" w:ascii="仿宋" w:hAnsi="仿宋" w:eastAsia="仿宋" w:cs="仿宋"/>
          <w:snapToGrid w:val="0"/>
          <w:color w:val="auto"/>
          <w:spacing w:val="-83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-11"/>
          <w:kern w:val="0"/>
          <w:sz w:val="24"/>
          <w:szCs w:val="24"/>
          <w:lang w:val="en-US" w:eastAsia="en-US" w:bidi="ar-SA"/>
        </w:rPr>
        <w:t xml:space="preserve">：                            </w:t>
      </w:r>
      <w:r>
        <w:rPr>
          <w:rFonts w:hint="eastAsia" w:ascii="仿宋" w:hAnsi="仿宋" w:eastAsia="仿宋" w:cs="仿宋"/>
          <w:snapToGrid w:val="0"/>
          <w:color w:val="auto"/>
          <w:spacing w:val="-12"/>
          <w:kern w:val="0"/>
          <w:sz w:val="24"/>
          <w:szCs w:val="24"/>
          <w:lang w:val="en-US" w:eastAsia="en-US" w:bidi="ar-SA"/>
        </w:rPr>
        <w:t xml:space="preserve">      </w:t>
      </w:r>
      <w:r>
        <w:rPr>
          <w:rFonts w:hint="eastAsia" w:ascii="仿宋" w:hAnsi="仿宋" w:eastAsia="仿宋" w:cs="仿宋"/>
          <w:snapToGrid w:val="0"/>
          <w:color w:val="auto"/>
          <w:spacing w:val="-12"/>
          <w:kern w:val="0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snapToGrid w:val="0"/>
          <w:color w:val="auto"/>
          <w:spacing w:val="-12"/>
          <w:kern w:val="0"/>
          <w:sz w:val="24"/>
          <w:szCs w:val="24"/>
          <w:lang w:val="en-US" w:eastAsia="en-US" w:bidi="ar-SA"/>
        </w:rPr>
        <w:t xml:space="preserve"> 传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4"/>
          <w:szCs w:val="24"/>
          <w:lang w:val="en-US" w:eastAsia="en-US" w:bidi="ar-SA"/>
        </w:rPr>
        <w:t xml:space="preserve">    </w:t>
      </w:r>
      <w:r>
        <w:rPr>
          <w:rFonts w:hint="eastAsia" w:ascii="仿宋" w:hAnsi="仿宋" w:eastAsia="仿宋" w:cs="仿宋"/>
          <w:snapToGrid w:val="0"/>
          <w:color w:val="auto"/>
          <w:spacing w:val="-12"/>
          <w:kern w:val="0"/>
          <w:sz w:val="24"/>
          <w:szCs w:val="24"/>
          <w:lang w:val="en-US" w:eastAsia="en-US" w:bidi="ar-SA"/>
        </w:rPr>
        <w:t>真：</w:t>
      </w:r>
    </w:p>
    <w:p w14:paraId="7C521F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1"/>
          <w:szCs w:val="21"/>
          <w:lang w:eastAsia="en-US"/>
        </w:rPr>
      </w:pPr>
    </w:p>
    <w:p w14:paraId="71012064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开户开户银行：</w:t>
      </w:r>
      <w:r>
        <w:rPr>
          <w:rFonts w:hint="eastAsia" w:ascii="仿宋" w:hAnsi="仿宋" w:eastAsia="仿宋" w:cs="仿宋"/>
          <w:snapToGrid w:val="0"/>
          <w:color w:val="auto"/>
          <w:spacing w:val="3"/>
          <w:kern w:val="0"/>
          <w:sz w:val="24"/>
          <w:szCs w:val="24"/>
          <w:lang w:val="en-US" w:eastAsia="en-US" w:bidi="ar-SA"/>
        </w:rPr>
        <w:t xml:space="preserve">                        </w:t>
      </w:r>
      <w:r>
        <w:rPr>
          <w:rFonts w:hint="eastAsia" w:ascii="仿宋" w:hAnsi="仿宋" w:eastAsia="仿宋" w:cs="仿宋"/>
          <w:snapToGrid w:val="0"/>
          <w:color w:val="auto"/>
          <w:spacing w:val="2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开户单位：</w:t>
      </w:r>
    </w:p>
    <w:p w14:paraId="716713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1"/>
          <w:szCs w:val="21"/>
          <w:lang w:eastAsia="en-US"/>
        </w:rPr>
      </w:pPr>
    </w:p>
    <w:p w14:paraId="078290D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5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银行银行帐号：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                         </w:t>
      </w:r>
      <w:r>
        <w:rPr>
          <w:rFonts w:hint="eastAsia" w:ascii="仿宋" w:hAnsi="仿宋" w:eastAsia="仿宋" w:cs="仿宋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银行帐号：</w:t>
      </w:r>
    </w:p>
    <w:p w14:paraId="521220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1"/>
          <w:szCs w:val="21"/>
          <w:lang w:eastAsia="en-US"/>
        </w:rPr>
      </w:pPr>
    </w:p>
    <w:p w14:paraId="703FF141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签约地点：</w:t>
      </w:r>
      <w:r>
        <w:rPr>
          <w:rFonts w:hint="eastAsia" w:ascii="仿宋" w:hAnsi="仿宋" w:eastAsia="仿宋" w:cs="仿宋"/>
          <w:snapToGrid w:val="0"/>
          <w:color w:val="auto"/>
          <w:spacing w:val="1"/>
          <w:kern w:val="0"/>
          <w:sz w:val="24"/>
          <w:szCs w:val="24"/>
          <w:lang w:val="en-US" w:eastAsia="en-US" w:bidi="ar-SA"/>
        </w:rPr>
        <w:t xml:space="preserve">                          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   </w:t>
      </w:r>
      <w:r>
        <w:rPr>
          <w:rFonts w:hint="eastAsia" w:ascii="仿宋" w:hAnsi="仿宋" w:eastAsia="仿宋" w:cs="仿宋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签约地点：</w:t>
      </w:r>
    </w:p>
    <w:p w14:paraId="5BCCFC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1"/>
          <w:szCs w:val="21"/>
          <w:lang w:eastAsia="en-US"/>
        </w:rPr>
      </w:pPr>
    </w:p>
    <w:p w14:paraId="37A71AAE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签约时间：202</w:t>
      </w:r>
      <w:r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24"/>
          <w:szCs w:val="24"/>
          <w:lang w:val="en-US" w:eastAsia="zh-CN" w:bidi="ar-SA"/>
        </w:rPr>
        <w:t>5</w:t>
      </w:r>
      <w:r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年  月</w:t>
      </w:r>
      <w:r>
        <w:rPr>
          <w:rFonts w:hint="eastAsia" w:ascii="仿宋" w:hAnsi="仿宋" w:eastAsia="仿宋" w:cs="仿宋"/>
          <w:snapToGrid w:val="0"/>
          <w:color w:val="auto"/>
          <w:spacing w:val="33"/>
          <w:kern w:val="0"/>
          <w:sz w:val="24"/>
          <w:szCs w:val="24"/>
          <w:lang w:val="en-US" w:eastAsia="en-US" w:bidi="ar-SA"/>
        </w:rPr>
        <w:t xml:space="preserve">  </w:t>
      </w:r>
      <w:r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 xml:space="preserve">日                </w:t>
      </w:r>
      <w:r>
        <w:rPr>
          <w:rFonts w:hint="eastAsia" w:ascii="仿宋" w:hAnsi="仿宋" w:eastAsia="仿宋" w:cs="仿宋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 xml:space="preserve">  签约时间：202</w:t>
      </w:r>
      <w:r>
        <w:rPr>
          <w:rFonts w:hint="eastAsia" w:ascii="仿宋" w:hAnsi="仿宋" w:eastAsia="仿宋" w:cs="仿宋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5</w:t>
      </w:r>
      <w:r>
        <w:rPr>
          <w:rFonts w:hint="eastAsia" w:ascii="仿宋" w:hAnsi="仿宋" w:eastAsia="仿宋" w:cs="仿宋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>年</w:t>
      </w:r>
      <w:r>
        <w:rPr>
          <w:rFonts w:hint="eastAsia" w:ascii="仿宋" w:hAnsi="仿宋" w:eastAsia="仿宋" w:cs="仿宋"/>
          <w:snapToGrid w:val="0"/>
          <w:color w:val="auto"/>
          <w:spacing w:val="13"/>
          <w:kern w:val="0"/>
          <w:sz w:val="24"/>
          <w:szCs w:val="24"/>
          <w:lang w:val="en-US" w:eastAsia="en-US" w:bidi="ar-SA"/>
        </w:rPr>
        <w:t xml:space="preserve">  </w:t>
      </w:r>
      <w:r>
        <w:rPr>
          <w:rFonts w:hint="eastAsia" w:ascii="仿宋" w:hAnsi="仿宋" w:eastAsia="仿宋" w:cs="仿宋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>月</w:t>
      </w:r>
      <w:r>
        <w:rPr>
          <w:rFonts w:hint="eastAsia" w:ascii="仿宋" w:hAnsi="仿宋" w:eastAsia="仿宋" w:cs="仿宋"/>
          <w:snapToGrid w:val="0"/>
          <w:color w:val="auto"/>
          <w:spacing w:val="33"/>
          <w:kern w:val="0"/>
          <w:sz w:val="24"/>
          <w:szCs w:val="24"/>
          <w:lang w:val="en-US" w:eastAsia="en-US" w:bidi="ar-SA"/>
        </w:rPr>
        <w:t xml:space="preserve">  </w:t>
      </w:r>
      <w:r>
        <w:rPr>
          <w:rFonts w:hint="eastAsia" w:ascii="仿宋" w:hAnsi="仿宋" w:eastAsia="仿宋" w:cs="仿宋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>日</w:t>
      </w:r>
    </w:p>
    <w:p w14:paraId="2E3795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090747">
    <w:pPr>
      <w:kinsoku w:val="0"/>
      <w:autoSpaceDE w:val="0"/>
      <w:autoSpaceDN w:val="0"/>
      <w:adjustRightInd w:val="0"/>
      <w:snapToGrid w:val="0"/>
      <w:spacing w:line="214" w:lineRule="auto"/>
      <w:ind w:left="18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6"/>
        <w:szCs w:val="16"/>
        <w:lang w:val="en-US" w:eastAsia="en-US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D9086C">
    <w:pPr>
      <w:pStyle w:val="2"/>
      <w:rPr>
        <w:lang w:val="en-US"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E88F12"/>
    <w:multiLevelType w:val="singleLevel"/>
    <w:tmpl w:val="5AE88F1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2E35F3"/>
    <w:rsid w:val="022E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2025-12-18T08:26:00Z</dcterms:created>
  <dc:creator>doit</dc:creator>
  <cp:lastModifiedBy>doit</cp:lastModifiedBy>
  <dcterms:modified xsi:type="dcterms:W3CDTF">2025-12-18T08:26:24Z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563E0BD649FE4C6A9610D2CF1064B0C4_11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