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版本号：XBZB-2025-18020251202001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2025年网络安全服务项目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XBZB-2025-180</w:t>
      </w:r>
      <w:r>
        <w:br/>
      </w:r>
      <w:r>
        <w:br/>
      </w:r>
      <w:r>
        <w:br/>
      </w:r>
    </w:p>
    <w:p>
      <w:pPr>
        <w:pStyle w:val="null3"/>
        <w:jc w:val="center"/>
        <w:outlineLvl w:val="2"/>
      </w:pPr>
      <w:r>
        <w:rPr>
          <w:rFonts w:ascii="仿宋_GB2312" w:hAnsi="仿宋_GB2312" w:cs="仿宋_GB2312" w:eastAsia="仿宋_GB2312"/>
          <w:sz w:val="28"/>
          <w:b/>
        </w:rPr>
        <w:t>中共西安市未央区委网络安全和信息化委员会办公室</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中共西安市未央区委网络安全和信息化委员会办公室</w:t>
      </w:r>
      <w:r>
        <w:rPr>
          <w:rFonts w:ascii="仿宋_GB2312" w:hAnsi="仿宋_GB2312" w:cs="仿宋_GB2312" w:eastAsia="仿宋_GB2312"/>
        </w:rPr>
        <w:t>委托，拟对</w:t>
      </w:r>
      <w:r>
        <w:rPr>
          <w:rFonts w:ascii="仿宋_GB2312" w:hAnsi="仿宋_GB2312" w:cs="仿宋_GB2312" w:eastAsia="仿宋_GB2312"/>
        </w:rPr>
        <w:t>2025年网络安全服务项目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XBZB-2025-180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2025年网络安全服务项目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2025年网络安全服务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2、信用记录：供应商未被“信用中国”网站列入失信被执行人和重大税收违法失信主体，未被中国政府采购网列入政府采购严重违法失信行为记录名单（以现场信用记录查询结果为准）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中共西安市未央区委网络安全和信息化委员会办公室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陕西省西安市未央区龙首北路西段1号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029-81619675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陕西省西安市碑林区长安国际F座17层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王富敏、王薇、谢娜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029-85221302/13572926183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 1980号和[2003] 857号）标准计取。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中共西安市未央区委网络安全和信息化委员会办公室</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中共西安市未央区委网络安全和信息化委员会办公室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中共西安市未央区委网络安全和信息化委员会办公室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联系人：王富敏、王薇、谢娜</w:t>
      </w:r>
    </w:p>
    <w:p>
      <w:pPr>
        <w:pStyle w:val="null3"/>
      </w:pPr>
      <w:r>
        <w:rPr>
          <w:rFonts w:ascii="仿宋_GB2312" w:hAnsi="仿宋_GB2312" w:cs="仿宋_GB2312" w:eastAsia="仿宋_GB2312"/>
        </w:rPr>
        <w:t>联系电话：029-85221302/13572926183</w:t>
      </w:r>
    </w:p>
    <w:p>
      <w:pPr>
        <w:pStyle w:val="null3"/>
      </w:pPr>
      <w:r>
        <w:rPr>
          <w:rFonts w:ascii="仿宋_GB2312" w:hAnsi="仿宋_GB2312" w:cs="仿宋_GB2312" w:eastAsia="仿宋_GB2312"/>
        </w:rPr>
        <w:t>地址：陕西省西安市碑林区长安国际中心F座17层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2025年网络安全服务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2025年网络安全服务项目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标的名称：2025年网络安全服务项目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w:t>
            </w:r>
            <w:r>
              <w:rPr>
                <w:rFonts w:ascii="仿宋_GB2312" w:hAnsi="仿宋_GB2312" w:cs="仿宋_GB2312" w:eastAsia="仿宋_GB2312"/>
                <w:sz w:val="21"/>
                <w:b/>
              </w:rPr>
              <w:t>、项目概况</w:t>
            </w:r>
          </w:p>
          <w:p>
            <w:pPr>
              <w:pStyle w:val="null3"/>
            </w:pPr>
            <w:r>
              <w:rPr>
                <w:rFonts w:ascii="仿宋_GB2312" w:hAnsi="仿宋_GB2312" w:cs="仿宋_GB2312" w:eastAsia="仿宋_GB2312"/>
                <w:sz w:val="21"/>
              </w:rPr>
              <w:t>为认真贯彻《中华人民共和国网络安全法》《党委（党组）网络安全工作责任制实施办法》等法律法规和文件要求，结合未央区委网信办2025年度工作安排，计划进行中共西安市未央区委网络安全和信息化委员会办公室网络安全服务项目采购，通过引入安全服务，开展关键信息基础设施网络安全检查，理清可能影响关键业务运转的信息系统，准确掌握区内关键信息基础设施的安全状况，科学评估面临的网络安全风险，以查促管、以查促防、以查促改、以查促建，同时为构建关键信息基础设施安全保障体系提供基础性数据和参考。整体提升区内的安全保障能力与安全防护能力，并且在两会等国家级重要时期进行网络安全保障，提升全区各单位网络安全保障能力和水平，防范网络安全重大风险。</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22"/>
              <w:jc w:val="both"/>
            </w:pPr>
            <w:r>
              <w:rPr>
                <w:rFonts w:ascii="仿宋_GB2312" w:hAnsi="仿宋_GB2312" w:cs="仿宋_GB2312" w:eastAsia="仿宋_GB2312"/>
                <w:sz w:val="21"/>
                <w:b/>
              </w:rPr>
              <w:t>二</w:t>
            </w:r>
            <w:r>
              <w:rPr>
                <w:rFonts w:ascii="仿宋_GB2312" w:hAnsi="仿宋_GB2312" w:cs="仿宋_GB2312" w:eastAsia="仿宋_GB2312"/>
                <w:sz w:val="21"/>
                <w:b/>
              </w:rPr>
              <w:t>、技术内容</w:t>
            </w:r>
          </w:p>
          <w:p>
            <w:pPr>
              <w:pStyle w:val="null3"/>
            </w:pPr>
            <w:r>
              <w:rPr>
                <w:rFonts w:ascii="仿宋_GB2312" w:hAnsi="仿宋_GB2312" w:cs="仿宋_GB2312" w:eastAsia="仿宋_GB2312"/>
                <w:sz w:val="21"/>
              </w:rPr>
              <w:t>包括网络安全态势感知、终端安全管理系统服务、政府网站安全监测、网络安全检查、网络安全培训、应急演练、组建未央区网络安全专家技术组、应急响应服务、安全事件推送处置和响应建议、重要敏感时期网络安全保障服务、网络安全专家咨询、驻场服务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22"/>
              <w:jc w:val="both"/>
            </w:pPr>
            <w:r>
              <w:rPr>
                <w:rFonts w:ascii="仿宋_GB2312" w:hAnsi="仿宋_GB2312" w:cs="仿宋_GB2312" w:eastAsia="仿宋_GB2312"/>
                <w:sz w:val="21"/>
                <w:b/>
              </w:rPr>
              <w:t>三</w:t>
            </w:r>
            <w:r>
              <w:rPr>
                <w:rFonts w:ascii="仿宋_GB2312" w:hAnsi="仿宋_GB2312" w:cs="仿宋_GB2312" w:eastAsia="仿宋_GB2312"/>
                <w:sz w:val="21"/>
                <w:b/>
              </w:rPr>
              <w:t>、技术要求</w:t>
            </w:r>
          </w:p>
          <w:p>
            <w:pPr>
              <w:pStyle w:val="null3"/>
              <w:ind w:firstLine="420"/>
              <w:jc w:val="left"/>
            </w:pPr>
            <w:r>
              <w:rPr>
                <w:rFonts w:ascii="仿宋_GB2312" w:hAnsi="仿宋_GB2312" w:cs="仿宋_GB2312" w:eastAsia="仿宋_GB2312"/>
                <w:sz w:val="21"/>
              </w:rPr>
              <w:t>（一）网络安全态势感知</w:t>
            </w:r>
          </w:p>
          <w:p>
            <w:pPr>
              <w:pStyle w:val="null3"/>
              <w:ind w:firstLine="420"/>
              <w:jc w:val="left"/>
            </w:pPr>
            <w:r>
              <w:rPr>
                <w:rFonts w:ascii="仿宋_GB2312" w:hAnsi="仿宋_GB2312" w:cs="仿宋_GB2312" w:eastAsia="仿宋_GB2312"/>
                <w:sz w:val="21"/>
              </w:rPr>
              <w:t>1.建立全区安全态势感知平台，支持国产化部署，构建针对已知威胁和未知威胁的先进防御检测体系，对进出政务外网的网络流量、用户行为等重大异常模式进行分析识别，实时预警、监测、分析可能存在APT攻击、零日攻击、网络蠕虫、C&amp;C连接、数据泄密、网络漏洞、网页威胁 (网页漏洞、跨网站攻击)、钓鱼攻击、暴力攻击、数据库注入攻击、弱口令等网络安全风险，并能够快速进行日志分析，协助网信部门精准定位、研判网络安全威胁，快速响应清除网络安全威胁，防止政务外网环境中办公终端、网站、业务系统进一步发生被感染、篡改攻击和重要敏感数据泄露等问题，提升整体安全防护效能。</w:t>
            </w:r>
          </w:p>
          <w:p>
            <w:pPr>
              <w:pStyle w:val="null3"/>
              <w:ind w:firstLine="420"/>
              <w:jc w:val="left"/>
            </w:pPr>
            <w:r>
              <w:rPr>
                <w:rFonts w:ascii="仿宋_GB2312" w:hAnsi="仿宋_GB2312" w:cs="仿宋_GB2312" w:eastAsia="仿宋_GB2312"/>
                <w:sz w:val="21"/>
              </w:rPr>
              <w:t>（二）终端安全管理系统持续性服务</w:t>
            </w:r>
          </w:p>
          <w:p>
            <w:pPr>
              <w:pStyle w:val="null3"/>
              <w:ind w:firstLine="420"/>
              <w:jc w:val="left"/>
            </w:pPr>
            <w:r>
              <w:rPr>
                <w:rFonts w:ascii="仿宋_GB2312" w:hAnsi="仿宋_GB2312" w:cs="仿宋_GB2312" w:eastAsia="仿宋_GB2312"/>
                <w:sz w:val="21"/>
              </w:rPr>
              <w:t>1.部署支持国产化设备覆盖全区终端的安全管理平台，终端点位数量需求为2000-3000个，对全区互联网、政务外网的国产及部分尚未替代的非国产办公终端可能存在勒索病毒专项治理、数据防泄漏、零信任准入、攻击面管理、攻击防护、终端检测与响应等内容进行安全防护和管控，做到资产统一清点，支持收集并展示单个终端的基本信息、运行状态的监控等；</w:t>
            </w:r>
          </w:p>
          <w:p>
            <w:pPr>
              <w:pStyle w:val="null3"/>
              <w:ind w:firstLine="420"/>
              <w:jc w:val="left"/>
            </w:pPr>
            <w:r>
              <w:rPr>
                <w:rFonts w:ascii="仿宋_GB2312" w:hAnsi="仿宋_GB2312" w:cs="仿宋_GB2312" w:eastAsia="仿宋_GB2312"/>
                <w:sz w:val="21"/>
              </w:rPr>
              <w:t>2.支持以可视化形式展现攻击故事，提供可视化的进程树溯源，可直观看出攻击入口、相关操作行为、高危实体文件等信息，协助客户进行事件攻击溯源和研判分析，一键式操作对指定终端/终端组进行合规性检查，包括身份鉴别、访问控制、安全审计、剩余信息保护、入侵防范、恶意代码防范，对不合规的检查项提供设置建议，并可视化展示终端的基线合规检查结果。</w:t>
            </w:r>
          </w:p>
          <w:p>
            <w:pPr>
              <w:pStyle w:val="null3"/>
              <w:ind w:firstLine="420"/>
              <w:jc w:val="left"/>
            </w:pPr>
            <w:r>
              <w:rPr>
                <w:rFonts w:ascii="仿宋_GB2312" w:hAnsi="仿宋_GB2312" w:cs="仿宋_GB2312" w:eastAsia="仿宋_GB2312"/>
                <w:sz w:val="21"/>
              </w:rPr>
              <w:t>3.对Windows终端的漏洞情况进行扫描，并显示具体修复情况；支持流行Windows高危漏洞的轻补丁免疫防御，支持Windows补丁批量一键修复。</w:t>
            </w:r>
          </w:p>
          <w:p>
            <w:pPr>
              <w:pStyle w:val="null3"/>
              <w:ind w:firstLine="420"/>
              <w:jc w:val="left"/>
            </w:pPr>
            <w:r>
              <w:rPr>
                <w:rFonts w:ascii="仿宋_GB2312" w:hAnsi="仿宋_GB2312" w:cs="仿宋_GB2312" w:eastAsia="仿宋_GB2312"/>
                <w:sz w:val="21"/>
              </w:rPr>
              <w:t>（三）政府网站安全监测系统</w:t>
            </w:r>
          </w:p>
          <w:p>
            <w:pPr>
              <w:pStyle w:val="null3"/>
              <w:ind w:firstLine="420"/>
              <w:jc w:val="left"/>
            </w:pPr>
            <w:r>
              <w:rPr>
                <w:rFonts w:ascii="仿宋_GB2312" w:hAnsi="仿宋_GB2312" w:cs="仿宋_GB2312" w:eastAsia="仿宋_GB2312"/>
                <w:sz w:val="21"/>
              </w:rPr>
              <w:t>1.政府网站安全监测系统需支持 7*24 小时网络安全监测，一旦发生重大网络安全事故，可自动向网信办进行通知告警，并邀请专家研判，使网信办可第一时间对风险进行响应和处置，避免事态扩大。</w:t>
            </w:r>
          </w:p>
          <w:p>
            <w:pPr>
              <w:pStyle w:val="null3"/>
              <w:ind w:firstLine="420"/>
              <w:jc w:val="left"/>
            </w:pPr>
            <w:r>
              <w:rPr>
                <w:rFonts w:ascii="仿宋_GB2312" w:hAnsi="仿宋_GB2312" w:cs="仿宋_GB2312" w:eastAsia="仿宋_GB2312"/>
                <w:sz w:val="21"/>
              </w:rPr>
              <w:t>2.可用性监测：宕机监测、响应超时监测、响应异常监测、断链坏链监测、分布式引擎等告警。</w:t>
            </w:r>
          </w:p>
          <w:p>
            <w:pPr>
              <w:pStyle w:val="null3"/>
              <w:ind w:firstLine="420"/>
              <w:jc w:val="left"/>
            </w:pPr>
            <w:r>
              <w:rPr>
                <w:rFonts w:ascii="仿宋_GB2312" w:hAnsi="仿宋_GB2312" w:cs="仿宋_GB2312" w:eastAsia="仿宋_GB2312"/>
                <w:sz w:val="21"/>
              </w:rPr>
              <w:t>3.敏感词监测，匹配到敏感词时进行告警，设置自定义的敏感词黑白名单，配到用户设置的黑白名单时进行告警或放行。对监测内容采取人工智能研判，减少误报。</w:t>
            </w:r>
          </w:p>
          <w:p>
            <w:pPr>
              <w:pStyle w:val="null3"/>
            </w:pPr>
            <w:r>
              <w:rPr>
                <w:rFonts w:ascii="仿宋_GB2312" w:hAnsi="仿宋_GB2312" w:cs="仿宋_GB2312" w:eastAsia="仿宋_GB2312"/>
                <w:sz w:val="21"/>
              </w:rPr>
              <w:t>4.被黑监测，挂马监测：存在挖矿、钓鱼、木马等恶意脚本，自动分析所有链接，出现大量暗链时进行告警；分析网站内容，如果出现篡改情况，将进行告警；通过多 DNS 服务器对域名解析进行监测，当出现 DNS 劫持时进行告警；当页面内容、标签数出现大规模内容变动时进行告警。</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22"/>
              <w:jc w:val="both"/>
            </w:pPr>
            <w:r>
              <w:rPr>
                <w:rFonts w:ascii="仿宋_GB2312" w:hAnsi="仿宋_GB2312" w:cs="仿宋_GB2312" w:eastAsia="仿宋_GB2312"/>
                <w:sz w:val="21"/>
                <w:b/>
              </w:rPr>
              <w:t>四、服务要求</w:t>
            </w:r>
          </w:p>
          <w:p>
            <w:pPr>
              <w:pStyle w:val="null3"/>
              <w:ind w:firstLine="420"/>
              <w:jc w:val="left"/>
            </w:pPr>
            <w:r>
              <w:rPr>
                <w:rFonts w:ascii="仿宋_GB2312" w:hAnsi="仿宋_GB2312" w:cs="仿宋_GB2312" w:eastAsia="仿宋_GB2312"/>
                <w:sz w:val="21"/>
              </w:rPr>
              <w:t>（一）网络安全检查服务</w:t>
            </w:r>
          </w:p>
          <w:p>
            <w:pPr>
              <w:pStyle w:val="null3"/>
              <w:ind w:firstLine="420"/>
              <w:jc w:val="left"/>
            </w:pPr>
            <w:r>
              <w:rPr>
                <w:rFonts w:ascii="仿宋_GB2312" w:hAnsi="仿宋_GB2312" w:cs="仿宋_GB2312" w:eastAsia="仿宋_GB2312"/>
                <w:sz w:val="21"/>
              </w:rPr>
              <w:t>1.按年度工作安排，对未央全区开展至少2次网络安全检查服务，每次不少于3名技术人员现场查看、安排专业设备技术扫描，排查受检单位网络安全工作责任制落实情况、网络安全管理制度、网络安全技术防护、机房运维、网络安全应急处置、重要敏感数据加工存储等存在问题，做到及时排查问题和安全隐患及时解决，输出安全检查报告和整改建议，监督安全整改，消除隐患风险。</w:t>
            </w:r>
          </w:p>
          <w:p>
            <w:pPr>
              <w:pStyle w:val="null3"/>
              <w:ind w:firstLine="420"/>
              <w:jc w:val="left"/>
            </w:pPr>
            <w:r>
              <w:rPr>
                <w:rFonts w:ascii="仿宋_GB2312" w:hAnsi="仿宋_GB2312" w:cs="仿宋_GB2312" w:eastAsia="仿宋_GB2312"/>
                <w:sz w:val="21"/>
              </w:rPr>
              <w:t>2.针对高风险目标开展渗透测试，提供根据渗透测试发现的问题及风险，确定安全加固方案和安全整改建议，协助进行漏洞修复工作，并在整改完成后进行复测，验证问题整改有效性。</w:t>
            </w:r>
          </w:p>
          <w:p>
            <w:pPr>
              <w:pStyle w:val="null3"/>
              <w:ind w:firstLine="420"/>
              <w:jc w:val="left"/>
            </w:pPr>
            <w:r>
              <w:rPr>
                <w:rFonts w:ascii="仿宋_GB2312" w:hAnsi="仿宋_GB2312" w:cs="仿宋_GB2312" w:eastAsia="仿宋_GB2312"/>
                <w:sz w:val="21"/>
              </w:rPr>
              <w:t>3. 按照国标GB/T42461-2023附录表C.2级别对照，负责安全检查3名技术人员资质需至少1位高级网络安全服务人员。</w:t>
            </w:r>
          </w:p>
          <w:p>
            <w:pPr>
              <w:pStyle w:val="null3"/>
              <w:ind w:firstLine="420"/>
              <w:jc w:val="left"/>
            </w:pPr>
            <w:r>
              <w:rPr>
                <w:rFonts w:ascii="仿宋_GB2312" w:hAnsi="仿宋_GB2312" w:cs="仿宋_GB2312" w:eastAsia="仿宋_GB2312"/>
                <w:sz w:val="21"/>
              </w:rPr>
              <w:t>（二）网络安全培训服务</w:t>
            </w:r>
          </w:p>
          <w:p>
            <w:pPr>
              <w:pStyle w:val="null3"/>
              <w:ind w:firstLine="420"/>
              <w:jc w:val="left"/>
            </w:pPr>
            <w:r>
              <w:rPr>
                <w:rFonts w:ascii="仿宋_GB2312" w:hAnsi="仿宋_GB2312" w:cs="仿宋_GB2312" w:eastAsia="仿宋_GB2312"/>
                <w:sz w:val="21"/>
              </w:rPr>
              <w:t>聘请专业网络安全培训讲师，召开全年不少于2次的全区网络安全培训，通过系统的网络安全学习和培训，加强区机关对工作人员的管理。达到在提高机关工作人员网络安全意识的同时，也可以提升现有网络安全工作人员的技能。按照国标GB/T42461-2023附录表C.2对照表，讲师要求为网络安全行业专家，需深入了解党政机关网络安全现状，具有丰富党政机关网络安全防护实战及培训经验。</w:t>
            </w:r>
          </w:p>
          <w:p>
            <w:pPr>
              <w:pStyle w:val="null3"/>
              <w:ind w:firstLine="420"/>
              <w:jc w:val="left"/>
            </w:pPr>
            <w:r>
              <w:rPr>
                <w:rFonts w:ascii="仿宋_GB2312" w:hAnsi="仿宋_GB2312" w:cs="仿宋_GB2312" w:eastAsia="仿宋_GB2312"/>
                <w:sz w:val="21"/>
              </w:rPr>
              <w:t>（三）应急演练服务</w:t>
            </w:r>
          </w:p>
          <w:p>
            <w:pPr>
              <w:pStyle w:val="null3"/>
              <w:ind w:firstLine="420"/>
              <w:jc w:val="left"/>
            </w:pPr>
            <w:r>
              <w:rPr>
                <w:rFonts w:ascii="仿宋_GB2312" w:hAnsi="仿宋_GB2312" w:cs="仿宋_GB2312" w:eastAsia="仿宋_GB2312"/>
                <w:sz w:val="21"/>
              </w:rPr>
              <w:t>提供至少3名网络安全专家技术组成员，对未央区管辖范围内的互联网资产情况进行梳理分析以及风险有效性验证的基础上，设计符合未央区实际的网络安全应急演练课目，挑选关键问题、敏感环节开展实战化演练，辅助以讲做结合的展示方式，面向全区各单位展示，提高网络安全防范意识和防护技能水平。</w:t>
            </w:r>
          </w:p>
          <w:p>
            <w:pPr>
              <w:pStyle w:val="null3"/>
              <w:ind w:firstLine="420"/>
              <w:jc w:val="left"/>
            </w:pPr>
            <w:r>
              <w:rPr>
                <w:rFonts w:ascii="仿宋_GB2312" w:hAnsi="仿宋_GB2312" w:cs="仿宋_GB2312" w:eastAsia="仿宋_GB2312"/>
                <w:sz w:val="21"/>
              </w:rPr>
              <w:t>（四）组建未央区网络安全专家技术组</w:t>
            </w:r>
          </w:p>
          <w:p>
            <w:pPr>
              <w:pStyle w:val="null3"/>
              <w:ind w:firstLine="420"/>
              <w:jc w:val="left"/>
            </w:pPr>
            <w:r>
              <w:rPr>
                <w:rFonts w:ascii="仿宋_GB2312" w:hAnsi="仿宋_GB2312" w:cs="仿宋_GB2312" w:eastAsia="仿宋_GB2312"/>
                <w:sz w:val="21"/>
              </w:rPr>
              <w:t>按照国标GB/T42461-2023附录表C.2对照表，由5名网络安全服务人员组建网络安全专家技术组，其中资深专家不少于1人，高级网络安全服务人员不少于2人。主要职责：为网络安全事件提供决策咨询和工作建议；提供现场或远程指导，提出解决网络攻击和漏洞隐患的具体方案和措施；根据工作需要参加网络安全专家研讨会。在发生网络安全事件时，按照要求开展技术支持和服务；协调本单位资源为网络安全攻击事件提供远程流量清洗、过滤和安全检查等工作。</w:t>
            </w:r>
          </w:p>
          <w:p>
            <w:pPr>
              <w:pStyle w:val="null3"/>
              <w:ind w:firstLine="420"/>
              <w:jc w:val="left"/>
            </w:pPr>
            <w:r>
              <w:rPr>
                <w:rFonts w:ascii="仿宋_GB2312" w:hAnsi="仿宋_GB2312" w:cs="仿宋_GB2312" w:eastAsia="仿宋_GB2312"/>
                <w:sz w:val="21"/>
              </w:rPr>
              <w:t>（五）应急响应服务</w:t>
            </w:r>
          </w:p>
          <w:p>
            <w:pPr>
              <w:pStyle w:val="null3"/>
              <w:ind w:firstLine="420"/>
              <w:jc w:val="left"/>
            </w:pPr>
            <w:r>
              <w:rPr>
                <w:rFonts w:ascii="仿宋_GB2312" w:hAnsi="仿宋_GB2312" w:cs="仿宋_GB2312" w:eastAsia="仿宋_GB2312"/>
                <w:sz w:val="21"/>
              </w:rPr>
              <w:t>1.在上级单位下发安全通报时及突发安全任务，协调设备等资源协助网信办立即做出判断，给予安全风险评估，并派出专业人员现场溯源，通过对流量日志、攻击路径等对事件进行追踪分析，输出调查报告，指导涉事单位进行恢复与加固，并进行复盘优化。</w:t>
            </w:r>
          </w:p>
          <w:p>
            <w:pPr>
              <w:pStyle w:val="null3"/>
              <w:ind w:firstLine="420"/>
              <w:jc w:val="left"/>
            </w:pPr>
            <w:r>
              <w:rPr>
                <w:rFonts w:ascii="仿宋_GB2312" w:hAnsi="仿宋_GB2312" w:cs="仿宋_GB2312" w:eastAsia="仿宋_GB2312"/>
                <w:sz w:val="21"/>
              </w:rPr>
              <w:t>2.对于发生重大网络安全事件时，不限时长、不限次数组织不少于3名网络安全技术组成员（至少1名资深专家、1名高级以上网络安全技术人员）1小时内到达涉事单位开展应急响应服务，提供专属安全工具，不限于漏扫、数据安全工具箱等专业设备，在不改变网络现状情况下，对受控设备进行安全管理持续性服务，了解安全事件的详细情况，判断安全事件发生的原因，及时给出当下最优的安全处置措施并进行现场协助，在必要的情况下，协助进行入侵追踪和犯罪取证。当应急响应服务结束后，由专家技术组团队在24小时内出具应急响应报告上报至网信办并进行口头汇报。</w:t>
            </w:r>
          </w:p>
          <w:p>
            <w:pPr>
              <w:pStyle w:val="null3"/>
              <w:ind w:firstLine="420"/>
              <w:jc w:val="left"/>
            </w:pPr>
            <w:r>
              <w:rPr>
                <w:rFonts w:ascii="仿宋_GB2312" w:hAnsi="仿宋_GB2312" w:cs="仿宋_GB2312" w:eastAsia="仿宋_GB2312"/>
                <w:sz w:val="21"/>
              </w:rPr>
              <w:t>（六）安全事件推送处置和响应建议</w:t>
            </w:r>
          </w:p>
          <w:p>
            <w:pPr>
              <w:pStyle w:val="null3"/>
              <w:ind w:firstLine="420"/>
              <w:jc w:val="left"/>
            </w:pPr>
            <w:r>
              <w:rPr>
                <w:rFonts w:ascii="仿宋_GB2312" w:hAnsi="仿宋_GB2312" w:cs="仿宋_GB2312" w:eastAsia="仿宋_GB2312"/>
                <w:sz w:val="21"/>
              </w:rPr>
              <w:t>1.追踪国内外网络安全态势，发现突发事件和高风险安全漏洞时，及时给区委网信办报送相关信息，同时供应商应保证具有重大网络安全情报推送服务能力，并提供技术支持。</w:t>
            </w:r>
          </w:p>
          <w:p>
            <w:pPr>
              <w:pStyle w:val="null3"/>
              <w:ind w:firstLine="420"/>
              <w:jc w:val="left"/>
            </w:pPr>
            <w:r>
              <w:rPr>
                <w:rFonts w:ascii="仿宋_GB2312" w:hAnsi="仿宋_GB2312" w:cs="仿宋_GB2312" w:eastAsia="仿宋_GB2312"/>
                <w:sz w:val="21"/>
              </w:rPr>
              <w:t>2.安全情报共享，通过定期发布安全威胁报告、漏洞公告等形式进行情报信息共享，协助区委网信办及时了解目前的的安全威胁和漏洞情况，对网络安全方面重要信息和重大风险隐患做到及时告知和提前预警。</w:t>
            </w:r>
          </w:p>
          <w:p>
            <w:pPr>
              <w:pStyle w:val="null3"/>
              <w:ind w:firstLine="420"/>
              <w:jc w:val="left"/>
            </w:pPr>
            <w:r>
              <w:rPr>
                <w:rFonts w:ascii="仿宋_GB2312" w:hAnsi="仿宋_GB2312" w:cs="仿宋_GB2312" w:eastAsia="仿宋_GB2312"/>
                <w:sz w:val="21"/>
              </w:rPr>
              <w:t>（七）重要敏感时期网络安全保障服务</w:t>
            </w:r>
          </w:p>
          <w:p>
            <w:pPr>
              <w:pStyle w:val="null3"/>
              <w:ind w:firstLine="420"/>
              <w:jc w:val="left"/>
            </w:pPr>
            <w:r>
              <w:rPr>
                <w:rFonts w:ascii="仿宋_GB2312" w:hAnsi="仿宋_GB2312" w:cs="仿宋_GB2312" w:eastAsia="仿宋_GB2312"/>
                <w:sz w:val="21"/>
              </w:rPr>
              <w:t>按照要求，在服务期限内重要时期前后，提供未央区网络安全专家技术组执行7x24小时技术支撑保障和线上应急值班值守工作，保障在重要时期不出现重大网络安全风险。</w:t>
            </w:r>
          </w:p>
          <w:p>
            <w:pPr>
              <w:pStyle w:val="null3"/>
              <w:ind w:firstLine="420"/>
              <w:jc w:val="left"/>
            </w:pPr>
            <w:r>
              <w:rPr>
                <w:rFonts w:ascii="仿宋_GB2312" w:hAnsi="仿宋_GB2312" w:cs="仿宋_GB2312" w:eastAsia="仿宋_GB2312"/>
                <w:sz w:val="21"/>
              </w:rPr>
              <w:t>（八）驻场运维服务</w:t>
            </w:r>
          </w:p>
          <w:p>
            <w:pPr>
              <w:pStyle w:val="null3"/>
              <w:ind w:firstLine="420"/>
              <w:jc w:val="left"/>
            </w:pPr>
            <w:r>
              <w:rPr>
                <w:rFonts w:ascii="仿宋_GB2312" w:hAnsi="仿宋_GB2312" w:cs="仿宋_GB2312" w:eastAsia="仿宋_GB2312"/>
                <w:sz w:val="21"/>
              </w:rPr>
              <w:t>1.提供技术人员驻场服务，主要负责进行监测和检测网络安全事件、漏洞管理和风险评估工作、网络设备和系统的配置、管理和监控，定期进行安全审计，评估网络系统和应用程序的安全性，确保组织符合适用的法规和合规要求。</w:t>
            </w:r>
          </w:p>
          <w:p>
            <w:pPr>
              <w:pStyle w:val="null3"/>
              <w:ind w:firstLine="420"/>
              <w:jc w:val="left"/>
            </w:pPr>
            <w:r>
              <w:rPr>
                <w:rFonts w:ascii="仿宋_GB2312" w:hAnsi="仿宋_GB2312" w:cs="仿宋_GB2312" w:eastAsia="仿宋_GB2312"/>
                <w:sz w:val="21"/>
              </w:rPr>
              <w:t>2.协助区委网信办建立灵活高效的安全事件响应流程，对上级下发的安全事件通知以及对发现的安全隐患进行及时的通知和反馈，与网络安全技术专家团队配合，做到安全事件的闭合处置。</w:t>
            </w:r>
          </w:p>
          <w:p>
            <w:pPr>
              <w:pStyle w:val="null3"/>
              <w:ind w:firstLine="420"/>
              <w:jc w:val="left"/>
            </w:pPr>
            <w:r>
              <w:rPr>
                <w:rFonts w:ascii="仿宋_GB2312" w:hAnsi="仿宋_GB2312" w:cs="仿宋_GB2312" w:eastAsia="仿宋_GB2312"/>
                <w:sz w:val="21"/>
              </w:rPr>
              <w:t>3.日常协助分析网络安全情况、提供规范性日常维护、故障应急响应、设备问题解决、定期工作报告等内容。</w:t>
            </w:r>
          </w:p>
          <w:p>
            <w:pPr>
              <w:pStyle w:val="null3"/>
              <w:ind w:firstLine="420"/>
              <w:jc w:val="left"/>
            </w:pPr>
            <w:r>
              <w:rPr>
                <w:rFonts w:ascii="仿宋_GB2312" w:hAnsi="仿宋_GB2312" w:cs="仿宋_GB2312" w:eastAsia="仿宋_GB2312"/>
                <w:sz w:val="21"/>
              </w:rPr>
              <w:t>4.驻场人员资质要求至少2年以上网络安全服务项目经验，具备独立应对处置一般网络安全事件能力。</w:t>
            </w:r>
          </w:p>
          <w:p>
            <w:pPr>
              <w:pStyle w:val="null3"/>
              <w:ind w:firstLine="420"/>
              <w:jc w:val="left"/>
            </w:pPr>
            <w:r>
              <w:rPr>
                <w:rFonts w:ascii="仿宋_GB2312" w:hAnsi="仿宋_GB2312" w:cs="仿宋_GB2312" w:eastAsia="仿宋_GB2312"/>
                <w:sz w:val="21"/>
              </w:rPr>
              <w:t>（九）其他要求</w:t>
            </w:r>
          </w:p>
          <w:p>
            <w:pPr>
              <w:pStyle w:val="null3"/>
            </w:pPr>
            <w:r>
              <w:rPr>
                <w:rFonts w:ascii="仿宋_GB2312" w:hAnsi="仿宋_GB2312" w:cs="仿宋_GB2312" w:eastAsia="仿宋_GB2312"/>
                <w:sz w:val="21"/>
              </w:rPr>
              <w:t>提供统一终端安全管理系统，满足全区电子政务内外网办公终端使用，具有国产独立自研引擎，支持国产操作系统、windows以及linux操作系统，具备在一个平台多操作系统客户端统一管理，支持windows7等老旧系统专项防护、勒索病毒防御等功能。（提供包括但不限于测试报告、官网和功能截图等）</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22"/>
              <w:jc w:val="both"/>
            </w:pPr>
            <w:r>
              <w:rPr>
                <w:rFonts w:ascii="仿宋_GB2312" w:hAnsi="仿宋_GB2312" w:cs="仿宋_GB2312" w:eastAsia="仿宋_GB2312"/>
                <w:sz w:val="21"/>
                <w:b/>
              </w:rPr>
              <w:t>五、商务要求</w:t>
            </w:r>
          </w:p>
          <w:p>
            <w:pPr>
              <w:pStyle w:val="null3"/>
              <w:ind w:firstLine="420"/>
              <w:jc w:val="left"/>
            </w:pPr>
            <w:r>
              <w:rPr>
                <w:rFonts w:ascii="仿宋_GB2312" w:hAnsi="仿宋_GB2312" w:cs="仿宋_GB2312" w:eastAsia="仿宋_GB2312"/>
                <w:sz w:val="21"/>
              </w:rPr>
              <w:t>（一）服务期限</w:t>
            </w:r>
          </w:p>
          <w:p>
            <w:pPr>
              <w:pStyle w:val="null3"/>
              <w:ind w:firstLine="420"/>
              <w:jc w:val="left"/>
            </w:pPr>
            <w:r>
              <w:rPr>
                <w:rFonts w:ascii="仿宋_GB2312" w:hAnsi="仿宋_GB2312" w:cs="仿宋_GB2312" w:eastAsia="仿宋_GB2312"/>
                <w:sz w:val="21"/>
              </w:rPr>
              <w:t>自合同签订之日起一年。</w:t>
            </w:r>
          </w:p>
          <w:p>
            <w:pPr>
              <w:pStyle w:val="null3"/>
              <w:ind w:firstLine="420"/>
              <w:jc w:val="left"/>
            </w:pPr>
            <w:r>
              <w:rPr>
                <w:rFonts w:ascii="仿宋_GB2312" w:hAnsi="仿宋_GB2312" w:cs="仿宋_GB2312" w:eastAsia="仿宋_GB2312"/>
                <w:sz w:val="21"/>
              </w:rPr>
              <w:t>（二）付款方式</w:t>
            </w:r>
          </w:p>
          <w:p>
            <w:pPr>
              <w:pStyle w:val="null3"/>
              <w:ind w:firstLine="420"/>
              <w:jc w:val="left"/>
            </w:pPr>
            <w:r>
              <w:rPr>
                <w:rFonts w:ascii="仿宋_GB2312" w:hAnsi="仿宋_GB2312" w:cs="仿宋_GB2312" w:eastAsia="仿宋_GB2312"/>
                <w:sz w:val="21"/>
              </w:rPr>
              <w:t>①项目实施完成并出具阶段性报告，甲方收到报告后，根据区财政局的付款进度进行付款，达到付款条件起30日内，支付合同总金额的50.00%；</w:t>
            </w:r>
          </w:p>
          <w:p>
            <w:pPr>
              <w:pStyle w:val="null3"/>
            </w:pPr>
            <w:r>
              <w:rPr>
                <w:rFonts w:ascii="仿宋_GB2312" w:hAnsi="仿宋_GB2312" w:cs="仿宋_GB2312" w:eastAsia="仿宋_GB2312"/>
                <w:sz w:val="21"/>
              </w:rPr>
              <w:t>②根据区财政局的付款进度进行付款，达到付款条件起30日内，支付合同总金额的50.00%。</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422"/>
              <w:jc w:val="both"/>
            </w:pPr>
            <w:r>
              <w:rPr>
                <w:rFonts w:ascii="仿宋_GB2312" w:hAnsi="仿宋_GB2312" w:cs="仿宋_GB2312" w:eastAsia="仿宋_GB2312"/>
                <w:sz w:val="21"/>
                <w:b/>
              </w:rPr>
              <w:t>六、其他要求</w:t>
            </w:r>
          </w:p>
          <w:p>
            <w:pPr>
              <w:pStyle w:val="null3"/>
              <w:ind w:firstLine="420"/>
              <w:jc w:val="left"/>
            </w:pPr>
            <w:r>
              <w:rPr>
                <w:rFonts w:ascii="仿宋_GB2312" w:hAnsi="仿宋_GB2312" w:cs="仿宋_GB2312" w:eastAsia="仿宋_GB2312"/>
                <w:sz w:val="21"/>
              </w:rPr>
              <w:t>（一）进度要求</w:t>
            </w:r>
          </w:p>
          <w:p>
            <w:pPr>
              <w:pStyle w:val="null3"/>
              <w:ind w:firstLine="420"/>
              <w:jc w:val="left"/>
            </w:pPr>
            <w:r>
              <w:rPr>
                <w:rFonts w:ascii="仿宋_GB2312" w:hAnsi="仿宋_GB2312" w:cs="仿宋_GB2312" w:eastAsia="仿宋_GB2312"/>
                <w:sz w:val="21"/>
              </w:rPr>
              <w:t>1.服务期内，全时段对搭建部署在政务外网、互联网、政务内网、专线信息资产及终端网络安全状况实时监测，使用统一终端安全管理系统进行办公终端防护，对全区政府和重点网站进行7*24小时可用性和网络安全监测。</w:t>
            </w:r>
          </w:p>
          <w:p>
            <w:pPr>
              <w:pStyle w:val="null3"/>
              <w:ind w:firstLine="420"/>
              <w:jc w:val="left"/>
            </w:pPr>
            <w:r>
              <w:rPr>
                <w:rFonts w:ascii="仿宋_GB2312" w:hAnsi="仿宋_GB2312" w:cs="仿宋_GB2312" w:eastAsia="仿宋_GB2312"/>
                <w:sz w:val="21"/>
              </w:rPr>
              <w:t>2.签订合同一月内，办公终端安装、网络安全态势感知平台部署、调试，并出具报告</w:t>
            </w:r>
          </w:p>
          <w:p>
            <w:pPr>
              <w:pStyle w:val="null3"/>
              <w:ind w:firstLine="420"/>
              <w:jc w:val="left"/>
            </w:pPr>
            <w:r>
              <w:rPr>
                <w:rFonts w:ascii="仿宋_GB2312" w:hAnsi="仿宋_GB2312" w:cs="仿宋_GB2312" w:eastAsia="仿宋_GB2312"/>
                <w:sz w:val="21"/>
              </w:rPr>
              <w:t>3.2026年4月30日前，完成第1次网络安全检查，网络安全意识及网络安全应急演练，开展网络安全培训服务。</w:t>
            </w:r>
          </w:p>
          <w:p>
            <w:pPr>
              <w:pStyle w:val="null3"/>
              <w:ind w:firstLine="420"/>
              <w:jc w:val="left"/>
            </w:pPr>
            <w:r>
              <w:rPr>
                <w:rFonts w:ascii="仿宋_GB2312" w:hAnsi="仿宋_GB2312" w:cs="仿宋_GB2312" w:eastAsia="仿宋_GB2312"/>
                <w:sz w:val="21"/>
              </w:rPr>
              <w:t>4.2026年9月30日前，完成第2次网络安全检查，提交验收报告。</w:t>
            </w:r>
          </w:p>
          <w:p>
            <w:pPr>
              <w:pStyle w:val="null3"/>
              <w:ind w:firstLine="420"/>
              <w:jc w:val="left"/>
            </w:pPr>
            <w:r>
              <w:rPr>
                <w:rFonts w:ascii="仿宋_GB2312" w:hAnsi="仿宋_GB2312" w:cs="仿宋_GB2312" w:eastAsia="仿宋_GB2312"/>
                <w:sz w:val="21"/>
              </w:rPr>
              <w:t>（二）服务质量标准</w:t>
            </w:r>
          </w:p>
          <w:p>
            <w:pPr>
              <w:pStyle w:val="null3"/>
              <w:ind w:firstLine="420"/>
              <w:jc w:val="left"/>
            </w:pPr>
            <w:r>
              <w:rPr>
                <w:rFonts w:ascii="仿宋_GB2312" w:hAnsi="仿宋_GB2312" w:cs="仿宋_GB2312" w:eastAsia="仿宋_GB2312"/>
                <w:sz w:val="21"/>
              </w:rPr>
              <w:t>满足现行的国家标准或国家行政部门颁布的法律法规、规章制度等要求。</w:t>
            </w:r>
          </w:p>
          <w:p>
            <w:pPr>
              <w:pStyle w:val="null3"/>
              <w:ind w:firstLine="420"/>
              <w:jc w:val="left"/>
            </w:pPr>
            <w:r>
              <w:rPr>
                <w:rFonts w:ascii="仿宋_GB2312" w:hAnsi="仿宋_GB2312" w:cs="仿宋_GB2312" w:eastAsia="仿宋_GB2312"/>
                <w:sz w:val="21"/>
              </w:rPr>
              <w:t>（三）违约责任</w:t>
            </w:r>
          </w:p>
          <w:p>
            <w:pPr>
              <w:pStyle w:val="null3"/>
              <w:ind w:firstLine="420"/>
              <w:jc w:val="left"/>
            </w:pPr>
            <w:r>
              <w:rPr>
                <w:rFonts w:ascii="仿宋_GB2312" w:hAnsi="仿宋_GB2312" w:cs="仿宋_GB2312" w:eastAsia="仿宋_GB2312"/>
                <w:sz w:val="21"/>
              </w:rPr>
              <w:t>1.按《民法典》中的相关条款和服务项目合同约定执行。</w:t>
            </w:r>
          </w:p>
          <w:p>
            <w:pPr>
              <w:pStyle w:val="null3"/>
            </w:pPr>
            <w:r>
              <w:rPr>
                <w:rFonts w:ascii="仿宋_GB2312" w:hAnsi="仿宋_GB2312" w:cs="仿宋_GB2312" w:eastAsia="仿宋_GB2312"/>
                <w:sz w:val="21"/>
              </w:rPr>
              <w:t>2.未按项目合同或磋商文件要求提供服务或质量不能满足采购人技术要求，采购人有权终止合同，甚至对供应商违约行为进行追究。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根据采购项目需求，供应商应具备完成本次网络安全服务的专业人员。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根据采购项目需求，供应商应具备完成本次网络安全服务的设施设备。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1.成交供应商按照项目需求完成网络安全服务后，由用户方组织验收。 2.验收依据：(1)合同文本；(2)国家有关的验收标准及规范；(3)竞争性磋商文件；(4)磋商响应文件。 3.其他以采购合同约定为准。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项目实施完成并出具阶段性报告，甲方收到报告后，根据区财政局的付款进度进行付款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根据区财政局的付款进度进行付款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违约责任：（一）按《中华人民共和国政府采购法》、《中华人民共和国民法典》中的相关条款执行。（二）未按合同要求提供服务或服务质量不能满足本次项目要求，甲方有权终止合同和对乙方违约行为进行追究，同时按有关规定进行相应的处罚。 ②本合同在履行过程中发生的争议，由甲、乙双方当事人协商解决，协商不成的依法向甲方所在地法院起诉。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结果公告发布后，成交单位须提供与政府采购电子化交易平台中内容一致的纸质版响应文件贰套、电子版壹套（U盘，标明供应商名称）。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证明材料：提供2024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供应商未被“信用中国”网站列入失信被执行人和重大税收违法失信主体，未被中国政府采购网列入政府采购严重违法失信行为记录名单（以现场信用记录查询结果为准）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磋商报价表.docx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响应文件中项目名称、项目编号与本项目一致，无遗漏；</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磋商报价表.docx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服务期限（合同履行期限）</w:t>
            </w:r>
          </w:p>
        </w:tc>
        <w:tc>
          <w:tcPr>
            <w:tcW w:type="dxa" w:w="3322"/>
          </w:tcPr>
          <w:p>
            <w:pPr>
              <w:pStyle w:val="null3"/>
            </w:pPr>
            <w:r>
              <w:rPr>
                <w:rFonts w:ascii="仿宋_GB2312" w:hAnsi="仿宋_GB2312" w:cs="仿宋_GB2312" w:eastAsia="仿宋_GB2312"/>
              </w:rPr>
              <w:t>应满足磋商文件中要求的服务期限（合同履行期限）</w:t>
            </w:r>
          </w:p>
        </w:tc>
        <w:tc>
          <w:tcPr>
            <w:tcW w:type="dxa" w:w="1661"/>
          </w:tcPr>
          <w:p>
            <w:pPr>
              <w:pStyle w:val="null3"/>
            </w:pPr>
            <w:r>
              <w:rPr>
                <w:rFonts w:ascii="仿宋_GB2312" w:hAnsi="仿宋_GB2312" w:cs="仿宋_GB2312" w:eastAsia="仿宋_GB2312"/>
              </w:rPr>
              <w:t>磋商报价表.docx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不存在法律、法规和采购文件规定的其他无效磋商情形</w:t>
            </w:r>
          </w:p>
        </w:tc>
        <w:tc>
          <w:tcPr>
            <w:tcW w:type="dxa" w:w="1661"/>
          </w:tcPr>
          <w:p>
            <w:pPr>
              <w:pStyle w:val="null3"/>
            </w:pPr>
            <w:r>
              <w:rPr>
                <w:rFonts w:ascii="仿宋_GB2312" w:hAnsi="仿宋_GB2312" w:cs="仿宋_GB2312" w:eastAsia="仿宋_GB2312"/>
              </w:rPr>
              <w:t>磋商方案说明书.docx 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若出现综合得分相同时，比较磋商价格，价格低的排序在前；若价格得分仍相同，比较技术得分，此分项得分高者排序在前；若此项得分仍相同，则由全体磋商小组成员无记名投票得票高者排序在前。</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制定具体的实施方案，包括但不限于：①网络信息资产测绘及网络安全态势感知、②终端安全管理系统服务、③政府网站安全监测、④网络安全检查服务、⑤网络安全培训服务、⑥应急响应及演练服务、⑦安全事件推送处置和响应建议、⑧组建未央区网络安全专家技术组和应急技术支撑团队、⑨重要时期网络安全保障服务、⑩驻场运维服务等。 根据响应内容赋分。方案各部分内容全面详细、阐述条理清晰详尽、符合本项目采购需求得30分；以上分项每缺少一项内容扣3分；有某一项不完整或不符合实际要求或不满足实施要求或套用其他项目内容的每项扣1.5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服务方案设计安全可靠性和合理性</w:t>
            </w:r>
          </w:p>
        </w:tc>
        <w:tc>
          <w:tcPr>
            <w:tcW w:type="dxa" w:w="2492"/>
          </w:tcPr>
          <w:p>
            <w:pPr>
              <w:pStyle w:val="null3"/>
            </w:pPr>
            <w:r>
              <w:rPr>
                <w:rFonts w:ascii="仿宋_GB2312" w:hAnsi="仿宋_GB2312" w:cs="仿宋_GB2312" w:eastAsia="仿宋_GB2312"/>
              </w:rPr>
              <w:t>根据方案的先进性、完整性和扩展性、方案架构设计安全可靠性以及方案的成熟度等综合评审，要求系统结构清楚正确、技术方案描述条理清楚、内容齐全，设备配置合理。 A.方案合理，技术成熟领先、系统的可用性及安全性高、操作便捷、技术方案科学合理，得8分； B.方案较合理，系统的可用性及安全性较高、技术方案较合理，得6分； C.方案较简单，少数次要功能实现效果存在差异；系统的可用性及安全性一般，得4分； D.方案内容简单笼统方案存在瑕疵，部分主要功能可以实现但效果较差；缺乏安全性和针对性，得2分。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根据供应商提供的的服务工作涉及的安全管理、数据安全及应用安全的技术安全保障措施的响应程度综合赋分。 A.措施内容针对性、合理性、可行性强，得6分； B.措施内容有一定针对性、合理性、可行性，得4分； C.措施内容简单笼统，缺乏针对性，得2分。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供应商提供人员配备表，人员配备合理，分工职责明确，专业性强，可实施性、合理性、协调性高，能确保项目顺利实施。根据响应内容综合赋分。 A.人员配备完善充足、岗位设置齐全、分工明确、管理方案详细，得6分； B.人员配备基本完善、岗位设置基本齐全、分工基本明确、管理方案内容简单，得4分； C.人员配备、岗位设置、分工及管理方案简单笼统，得2分。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根据供应商提供的针对本项目可预见的安全事件的应急预案的响应程度综合赋分。 A.预案内容完善，应对措施全面、可行性强，能够确保项目顺利实施，得5分； B.预案内容基本完善，应对措施的可行性较强，基本能够确保项目顺利实施，得3分； C.预案内容简单，措施针对性、可行性欠缺，得1分。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技术支持能力</w:t>
            </w:r>
          </w:p>
        </w:tc>
        <w:tc>
          <w:tcPr>
            <w:tcW w:type="dxa" w:w="2492"/>
          </w:tcPr>
          <w:p>
            <w:pPr>
              <w:pStyle w:val="null3"/>
            </w:pPr>
            <w:r>
              <w:rPr>
                <w:rFonts w:ascii="仿宋_GB2312" w:hAnsi="仿宋_GB2312" w:cs="仿宋_GB2312" w:eastAsia="仿宋_GB2312"/>
              </w:rPr>
              <w:t>根据供应商提供的技术支持能力方案的响应程度综合赋分。要求服务流程简洁高效，响应及时迅速，并且能够提供专门的技术支持工程师，确保及时的现场或远程技术支持。 A.方案合理、全面、可操作性强，得6分； B.方案合理、比较全面、可操作性较强，得4分； C.方案内容简单笼统，针对性、可操作性一般，得2分。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根据供应商提供的针对本项目整体服务质量保证措施响应程度综合赋分。 A.措施内容针对性、合理性、可行性强，得6分； B.措施内容有一定针对性、合理性、可行性，得4分； C.措施内容简单笼统，缺乏针对性，得2分。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供应商应提供具体的售后服务方案（包括但不限于①售后服务人员、②售后服务流程、③系统软件的更新升级、④故障维修处理时间、⑤后台技术支持等）。根据响应内容综合赋分。 方案各部分内容全面详细、阐述条理清晰详尽、符合本项目采购需求得10分；以上分项每缺少一项内容扣2分，内容不完整或不符合实际要求或套用其他项目的每项扣1分。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根据供应商提供的针对本项目培训方案响应程度综合赋分。 A.方案合理、全面、可操作性强，得6分； B.方案合理、比较全面、可操作性较强，得4分； C.方案内容简单笼统，针对性、可操作性一般，得2分。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针对本项目提供实施过程中的合理化建议。 A.建议内容针对性、合理性、可行性强，得4分； B.建议内容有一定针对性、合理性、可行性，得2分； C.建议内容简单笼统，缺乏针对性，得1分。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供应商提供2022年10月至今（以合同签订时间为准）类似项目业绩；每提供1份得1分，最高得3分。备注：在磋商响应文件中附合同复印件并加盖公章，弄虚作假者，取消其成交资格。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