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206FC345">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bookmarkStart w:id="0" w:name="_Toc495909096"/>
      <w:bookmarkStart w:id="1" w:name="_Toc495681405"/>
      <w:bookmarkStart w:id="2" w:name="_Toc495908047"/>
      <w:bookmarkStart w:id="3" w:name="_Toc495681251"/>
      <w:bookmarkStart w:id="4" w:name="_Toc495681532"/>
      <w:bookmarkStart w:id="5" w:name="_Toc495671262"/>
      <w:r>
        <w:rPr>
          <w:rFonts w:hint="eastAsia" w:cs="仿宋"/>
          <w:i w:val="0"/>
          <w:iCs w:val="0"/>
          <w:caps w:val="0"/>
          <w:color w:val="auto"/>
          <w:spacing w:val="0"/>
          <w:sz w:val="24"/>
          <w:szCs w:val="24"/>
          <w:shd w:val="clear" w:fill="FFFFFF"/>
          <w:lang w:val="en-US"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4A5D61D4">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2、财务状况报告：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35D6BEBA">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14:paraId="7288807E">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747CF346">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294C382F">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4F3FA289">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0919FD8D">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6EA7DCF5">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523D7420">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10、资质及人员要求：①提供城乡规划编制资质证书乙级及以上资质，拟派项目负责人具备注册城乡规划师资格，且在本单位注册；②提供（市政公用工程专业）工程咨询单位乙级及以上资信证书，拟派项目负责人具备咨询工程师（投资）执业资格，且在本单位注册。以上要求提供任意一种即可。供应商需在项目电子化交易系统中按要求上传相应证明文件并进行电子签章。</w:t>
      </w:r>
    </w:p>
    <w:p w14:paraId="7A75A5FD">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11、中小企业：本合同包为专门面向中小企业采购（提供中小企业声明函或监狱企业的证明文件或残疾人福利性单位声明函）。供应商需在项目电子化交易系统中按要求上传相应证明文件并进行电子签章。</w:t>
      </w:r>
    </w:p>
    <w:p w14:paraId="270E3FDF">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12、非联合体投标：本合同包不接受联合体投标，提供非联合体投标声明。供应商需在项目电子化交易系统中按要求上传相应证明文件并进行电子签章</w:t>
      </w:r>
    </w:p>
    <w:p w14:paraId="298D51A2">
      <w:pPr>
        <w:pageBreakBefore w:val="0"/>
        <w:widowControl w:val="0"/>
        <w:kinsoku/>
        <w:wordWrap/>
        <w:overflowPunct/>
        <w:topLinePunct w:val="0"/>
        <w:autoSpaceDE/>
        <w:autoSpaceDN/>
        <w:bidi w:val="0"/>
        <w:snapToGrid w:val="0"/>
        <w:spacing w:line="360" w:lineRule="auto"/>
        <w:ind w:firstLine="482" w:firstLineChars="200"/>
        <w:jc w:val="both"/>
        <w:textAlignment w:val="auto"/>
        <w:rPr>
          <w:rFonts w:hint="eastAsia" w:cs="仿宋"/>
          <w:i w:val="0"/>
          <w:iCs w:val="0"/>
          <w:caps w:val="0"/>
          <w:color w:val="auto"/>
          <w:spacing w:val="0"/>
          <w:sz w:val="24"/>
          <w:szCs w:val="24"/>
          <w:shd w:val="clear" w:fill="FFFFFF"/>
          <w:lang w:val="zh-CN" w:eastAsia="zh-CN"/>
        </w:rPr>
      </w:pPr>
      <w:bookmarkStart w:id="7" w:name="_GoBack"/>
      <w:bookmarkEnd w:id="7"/>
      <w:r>
        <w:rPr>
          <w:rFonts w:hint="eastAsia" w:ascii="仿宋" w:hAnsi="仿宋" w:eastAsia="仿宋" w:cs="仿宋"/>
          <w:b/>
          <w:bCs/>
          <w:color w:val="auto"/>
          <w:kern w:val="2"/>
          <w:sz w:val="24"/>
          <w:szCs w:val="24"/>
          <w:highlight w:val="none"/>
          <w:lang w:val="zh-CN"/>
        </w:rPr>
        <w:t>注：</w:t>
      </w:r>
      <w:r>
        <w:rPr>
          <w:rFonts w:hint="eastAsia" w:cs="仿宋"/>
          <w:i w:val="0"/>
          <w:iCs w:val="0"/>
          <w:caps w:val="0"/>
          <w:color w:val="auto"/>
          <w:spacing w:val="0"/>
          <w:sz w:val="24"/>
          <w:szCs w:val="24"/>
          <w:shd w:val="clear" w:fill="FFFFFF"/>
          <w:lang w:val="zh-CN" w:eastAsia="zh-CN"/>
        </w:rPr>
        <w:t>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11524A46"/>
    <w:rsid w:val="344910DE"/>
    <w:rsid w:val="47A365B0"/>
    <w:rsid w:val="5D6C394A"/>
    <w:rsid w:val="64FF705D"/>
    <w:rsid w:val="70D95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2451</Words>
  <Characters>2577</Characters>
  <Lines>0</Lines>
  <Paragraphs>0</Paragraphs>
  <TotalTime>3</TotalTime>
  <ScaleCrop>false</ScaleCrop>
  <LinksUpToDate>false</LinksUpToDate>
  <CharactersWithSpaces>3111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2025-02-28T09:07:05Z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6CD9233E852245548BEF7AB514D02806_11</vt:lpwstr>
  </property>
  <property fmtid="{D5CDD505-2E9C-101B-9397-08002B2CF9AE}" pid="4" name="KSOTemplateDocerSaveRecord">
    <vt:lpwstr>eyJoZGlkIjoiMGFkN2ZkYjAyZWFhMzBkYzQ5ZGY0MjkyMjEyZDAzZTQiLCJ1c2VySWQiOiIzNTY4MTIxOTcifQ==</vt:lpwstr>
  </property>
</Properties>
</file>