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415C4">
      <w:pPr>
        <w:pStyle w:val="2"/>
        <w:widowControl/>
        <w:numPr>
          <w:numId w:val="0"/>
        </w:numPr>
        <w:spacing w:beforeAutospacing="0" w:afterAutospacing="0" w:line="450" w:lineRule="atLeast"/>
        <w:jc w:val="center"/>
        <w:outlineLvl w:val="0"/>
        <w:rPr>
          <w:rFonts w:hint="default" w:cs="宋体"/>
          <w:color w:val="000000" w:themeColor="text1"/>
          <w:sz w:val="39"/>
          <w:szCs w:val="39"/>
          <w:shd w:val="clear" w:color="auto" w:fill="FFFFFF"/>
          <w14:textFill>
            <w14:solidFill>
              <w14:schemeClr w14:val="tx1"/>
            </w14:solidFill>
          </w14:textFill>
        </w:rPr>
      </w:pPr>
      <w:bookmarkStart w:id="0" w:name="_Toc13581"/>
      <w:r>
        <w:rPr>
          <w:rFonts w:cs="宋体"/>
          <w:color w:val="000000" w:themeColor="text1"/>
          <w:sz w:val="39"/>
          <w:szCs w:val="39"/>
          <w:shd w:val="clear" w:color="auto" w:fill="FFFFFF"/>
          <w14:textFill>
            <w14:solidFill>
              <w14:schemeClr w14:val="tx1"/>
            </w14:solidFill>
          </w14:textFill>
        </w:rPr>
        <w:t>拟签订采</w:t>
      </w:r>
      <w:bookmarkStart w:id="1" w:name="_GoBack"/>
      <w:bookmarkEnd w:id="1"/>
      <w:r>
        <w:rPr>
          <w:rFonts w:cs="宋体"/>
          <w:color w:val="000000" w:themeColor="text1"/>
          <w:sz w:val="39"/>
          <w:szCs w:val="39"/>
          <w:shd w:val="clear" w:color="auto" w:fill="FFFFFF"/>
          <w14:textFill>
            <w14:solidFill>
              <w14:schemeClr w14:val="tx1"/>
            </w14:solidFill>
          </w14:textFill>
        </w:rPr>
        <w:t>购合同文本</w:t>
      </w:r>
      <w:bookmarkEnd w:id="0"/>
    </w:p>
    <w:p w14:paraId="1E26AE3E">
      <w:pPr>
        <w:rPr>
          <w:color w:val="000000" w:themeColor="text1"/>
          <w14:textFill>
            <w14:solidFill>
              <w14:schemeClr w14:val="tx1"/>
            </w14:solidFill>
          </w14:textFill>
        </w:rPr>
      </w:pPr>
    </w:p>
    <w:p w14:paraId="37091CB3">
      <w:pPr>
        <w:spacing w:line="360" w:lineRule="auto"/>
        <w:rPr>
          <w:rFonts w:ascii="仿宋" w:hAnsi="仿宋" w:eastAsia="仿宋" w:cs="仿宋"/>
          <w:b/>
          <w:bCs/>
          <w:color w:val="000000" w:themeColor="text1"/>
          <w:sz w:val="28"/>
          <w:szCs w:val="28"/>
          <w14:textFill>
            <w14:solidFill>
              <w14:schemeClr w14:val="tx1"/>
            </w14:solidFill>
          </w14:textFill>
        </w:rPr>
      </w:pPr>
      <w:r>
        <w:rPr>
          <w:rFonts w:hint="eastAsia" w:ascii="仿宋" w:hAnsi="仿宋" w:eastAsia="仿宋" w:cs="仿宋"/>
          <w:b/>
          <w:bCs/>
          <w:color w:val="000000" w:themeColor="text1"/>
          <w:sz w:val="28"/>
          <w:szCs w:val="28"/>
          <w14:textFill>
            <w14:solidFill>
              <w14:schemeClr w14:val="tx1"/>
            </w14:solidFill>
          </w14:textFill>
        </w:rPr>
        <w:t>合同编号:</w:t>
      </w:r>
    </w:p>
    <w:p w14:paraId="6CF76EF3">
      <w:pPr>
        <w:pStyle w:val="7"/>
        <w:ind w:firstLine="340"/>
        <w:rPr>
          <w:rFonts w:ascii="仿宋" w:hAnsi="仿宋" w:eastAsia="仿宋" w:cs="仿宋"/>
          <w:color w:val="000000" w:themeColor="text1"/>
          <w14:textFill>
            <w14:solidFill>
              <w14:schemeClr w14:val="tx1"/>
            </w14:solidFill>
          </w14:textFill>
        </w:rPr>
      </w:pPr>
    </w:p>
    <w:p w14:paraId="14B20820">
      <w:pPr>
        <w:rPr>
          <w:rFonts w:ascii="仿宋" w:hAnsi="仿宋" w:eastAsia="仿宋" w:cs="仿宋"/>
          <w:color w:val="000000" w:themeColor="text1"/>
          <w:sz w:val="28"/>
          <w:szCs w:val="28"/>
          <w14:textFill>
            <w14:solidFill>
              <w14:schemeClr w14:val="tx1"/>
            </w14:solidFill>
          </w14:textFill>
        </w:rPr>
      </w:pPr>
    </w:p>
    <w:p w14:paraId="07DF7C5C">
      <w:pPr>
        <w:pStyle w:val="3"/>
        <w:jc w:val="center"/>
        <w:rPr>
          <w:rFonts w:ascii="仿宋" w:hAnsi="仿宋" w:eastAsia="仿宋" w:cs="仿宋"/>
          <w:b/>
          <w:color w:val="000000" w:themeColor="text1"/>
          <w:kern w:val="0"/>
          <w:sz w:val="32"/>
          <w:szCs w:val="32"/>
          <w14:textFill>
            <w14:solidFill>
              <w14:schemeClr w14:val="tx1"/>
            </w14:solidFill>
          </w14:textFill>
        </w:rPr>
      </w:pPr>
      <w:r>
        <w:rPr>
          <w:rFonts w:hint="eastAsia" w:ascii="仿宋" w:hAnsi="仿宋" w:eastAsia="仿宋" w:cs="仿宋"/>
          <w:b/>
          <w:color w:val="000000" w:themeColor="text1"/>
          <w:kern w:val="0"/>
          <w:sz w:val="32"/>
          <w:szCs w:val="32"/>
          <w14:textFill>
            <w14:solidFill>
              <w14:schemeClr w14:val="tx1"/>
            </w14:solidFill>
          </w14:textFill>
        </w:rPr>
        <w:t>教学设施设备采购项目</w:t>
      </w:r>
    </w:p>
    <w:p w14:paraId="6F51ADBE">
      <w:pPr>
        <w:pStyle w:val="3"/>
        <w:jc w:val="center"/>
        <w:rPr>
          <w:rFonts w:ascii="仿宋" w:hAnsi="仿宋" w:eastAsia="仿宋" w:cs="仿宋"/>
          <w:b/>
          <w:color w:val="000000" w:themeColor="text1"/>
          <w:kern w:val="0"/>
          <w:sz w:val="28"/>
          <w:szCs w:val="28"/>
          <w14:textFill>
            <w14:solidFill>
              <w14:schemeClr w14:val="tx1"/>
            </w14:solidFill>
          </w14:textFill>
        </w:rPr>
      </w:pPr>
    </w:p>
    <w:p w14:paraId="1208EF36">
      <w:pPr>
        <w:rPr>
          <w:rFonts w:ascii="仿宋" w:hAnsi="仿宋" w:eastAsia="仿宋" w:cs="仿宋"/>
          <w:color w:val="000000" w:themeColor="text1"/>
          <w14:textFill>
            <w14:solidFill>
              <w14:schemeClr w14:val="tx1"/>
            </w14:solidFill>
          </w14:textFill>
        </w:rPr>
      </w:pPr>
    </w:p>
    <w:p w14:paraId="1EF63368">
      <w:pPr>
        <w:pStyle w:val="3"/>
        <w:jc w:val="center"/>
        <w:rPr>
          <w:rFonts w:ascii="仿宋" w:hAnsi="仿宋" w:eastAsia="仿宋" w:cs="仿宋"/>
          <w:b/>
          <w:color w:val="000000" w:themeColor="text1"/>
          <w:kern w:val="0"/>
          <w:sz w:val="44"/>
          <w:szCs w:val="44"/>
          <w14:textFill>
            <w14:solidFill>
              <w14:schemeClr w14:val="tx1"/>
            </w14:solidFill>
          </w14:textFill>
        </w:rPr>
      </w:pPr>
    </w:p>
    <w:p w14:paraId="3FBE60B8">
      <w:pPr>
        <w:pStyle w:val="3"/>
        <w:jc w:val="center"/>
        <w:rPr>
          <w:rFonts w:ascii="仿宋" w:hAnsi="仿宋" w:eastAsia="仿宋" w:cs="仿宋"/>
          <w:b/>
          <w:color w:val="000000" w:themeColor="text1"/>
          <w:kern w:val="0"/>
          <w:sz w:val="44"/>
          <w:szCs w:val="44"/>
          <w14:textFill>
            <w14:solidFill>
              <w14:schemeClr w14:val="tx1"/>
            </w14:solidFill>
          </w14:textFill>
        </w:rPr>
      </w:pPr>
      <w:r>
        <w:rPr>
          <w:rFonts w:hint="eastAsia" w:ascii="仿宋" w:hAnsi="仿宋" w:eastAsia="仿宋" w:cs="仿宋"/>
          <w:b/>
          <w:color w:val="000000" w:themeColor="text1"/>
          <w:kern w:val="0"/>
          <w:sz w:val="44"/>
          <w:szCs w:val="44"/>
          <w14:textFill>
            <w14:solidFill>
              <w14:schemeClr w14:val="tx1"/>
            </w14:solidFill>
          </w14:textFill>
        </w:rPr>
        <w:t>（示范文本）</w:t>
      </w:r>
    </w:p>
    <w:p w14:paraId="1E50CBCA">
      <w:pPr>
        <w:rPr>
          <w:rFonts w:ascii="仿宋" w:hAnsi="仿宋" w:eastAsia="仿宋" w:cs="仿宋"/>
          <w:color w:val="000000" w:themeColor="text1"/>
          <w:sz w:val="28"/>
          <w:szCs w:val="28"/>
          <w14:textFill>
            <w14:solidFill>
              <w14:schemeClr w14:val="tx1"/>
            </w14:solidFill>
          </w14:textFill>
        </w:rPr>
      </w:pPr>
    </w:p>
    <w:p w14:paraId="23646192">
      <w:pPr>
        <w:pStyle w:val="7"/>
        <w:ind w:firstLine="340"/>
        <w:rPr>
          <w:rFonts w:ascii="仿宋" w:hAnsi="仿宋" w:eastAsia="仿宋" w:cs="仿宋"/>
          <w:color w:val="000000" w:themeColor="text1"/>
          <w14:textFill>
            <w14:solidFill>
              <w14:schemeClr w14:val="tx1"/>
            </w14:solidFill>
          </w14:textFill>
        </w:rPr>
      </w:pPr>
    </w:p>
    <w:p w14:paraId="336A1974">
      <w:pPr>
        <w:ind w:firstLine="1968" w:firstLineChars="700"/>
        <w:jc w:val="left"/>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 xml:space="preserve">采购人(甲方) :                              </w:t>
      </w:r>
    </w:p>
    <w:p w14:paraId="49B76D5D">
      <w:pPr>
        <w:ind w:firstLine="1968" w:firstLineChars="700"/>
        <w:jc w:val="left"/>
        <w:rPr>
          <w:rFonts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 xml:space="preserve">供应商(乙方) :                              </w:t>
      </w:r>
    </w:p>
    <w:p w14:paraId="13E2267D">
      <w:pPr>
        <w:ind w:firstLine="562" w:firstLineChars="200"/>
        <w:jc w:val="left"/>
        <w:rPr>
          <w:rFonts w:ascii="仿宋" w:hAnsi="仿宋" w:eastAsia="仿宋" w:cs="仿宋"/>
          <w:b/>
          <w:color w:val="000000" w:themeColor="text1"/>
          <w:sz w:val="28"/>
          <w:szCs w:val="28"/>
          <w14:textFill>
            <w14:solidFill>
              <w14:schemeClr w14:val="tx1"/>
            </w14:solidFill>
          </w14:textFill>
        </w:rPr>
      </w:pPr>
    </w:p>
    <w:p w14:paraId="5B4B7DA1">
      <w:pPr>
        <w:pStyle w:val="7"/>
        <w:ind w:firstLine="0" w:firstLineChars="0"/>
        <w:rPr>
          <w:rFonts w:ascii="仿宋" w:hAnsi="仿宋" w:eastAsia="仿宋" w:cs="仿宋"/>
          <w:color w:val="000000" w:themeColor="text1"/>
          <w14:textFill>
            <w14:solidFill>
              <w14:schemeClr w14:val="tx1"/>
            </w14:solidFill>
          </w14:textFill>
        </w:rPr>
      </w:pPr>
    </w:p>
    <w:p w14:paraId="3A4D03B6">
      <w:pPr>
        <w:pStyle w:val="8"/>
        <w:ind w:firstLine="400"/>
        <w:rPr>
          <w:color w:val="000000" w:themeColor="text1"/>
          <w14:textFill>
            <w14:solidFill>
              <w14:schemeClr w14:val="tx1"/>
            </w14:solidFill>
          </w14:textFill>
        </w:rPr>
      </w:pPr>
    </w:p>
    <w:p w14:paraId="4C82B58C">
      <w:pPr>
        <w:rPr>
          <w:rFonts w:ascii="仿宋" w:hAnsi="仿宋" w:eastAsia="仿宋" w:cs="仿宋"/>
          <w:color w:val="000000" w:themeColor="text1"/>
          <w:sz w:val="24"/>
          <w14:textFill>
            <w14:solidFill>
              <w14:schemeClr w14:val="tx1"/>
            </w14:solidFill>
          </w14:textFill>
        </w:rPr>
      </w:pPr>
    </w:p>
    <w:p w14:paraId="215EA47D">
      <w:pPr>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合同编号：</w:t>
      </w:r>
    </w:p>
    <w:p w14:paraId="6EAA6CA4">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签订地点：</w:t>
      </w:r>
    </w:p>
    <w:p w14:paraId="20E22AD0">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签订时间：</w:t>
      </w:r>
    </w:p>
    <w:p w14:paraId="2927F14B">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br w:type="page"/>
      </w:r>
      <w:r>
        <w:rPr>
          <w:rFonts w:hint="eastAsia" w:ascii="仿宋" w:hAnsi="仿宋" w:eastAsia="仿宋" w:cs="仿宋"/>
          <w:color w:val="000000" w:themeColor="text1"/>
          <w:sz w:val="24"/>
          <w14:textFill>
            <w14:solidFill>
              <w14:schemeClr w14:val="tx1"/>
            </w14:solidFill>
          </w14:textFill>
        </w:rPr>
        <w:t xml:space="preserve">采购人（甲方）： </w:t>
      </w:r>
    </w:p>
    <w:p w14:paraId="5F1597D1">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供应商（乙方）：</w:t>
      </w:r>
    </w:p>
    <w:p w14:paraId="098C03C8">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根据《中华人民共和国民法典》、《中华人民共和国政府采购法》及</w:t>
      </w:r>
      <w:r>
        <w:rPr>
          <w:rFonts w:hint="eastAsia" w:ascii="仿宋" w:hAnsi="仿宋" w:eastAsia="仿宋" w:cs="仿宋"/>
          <w:color w:val="000000" w:themeColor="text1"/>
          <w:sz w:val="24"/>
          <w:u w:val="single"/>
          <w14:textFill>
            <w14:solidFill>
              <w14:schemeClr w14:val="tx1"/>
            </w14:solidFill>
          </w14:textFill>
        </w:rPr>
        <w:t>教学设施设备采购项目、项目编号：HHGJZC2025-CS274</w:t>
      </w:r>
      <w:r>
        <w:rPr>
          <w:rFonts w:hint="eastAsia" w:ascii="仿宋" w:hAnsi="仿宋" w:eastAsia="仿宋" w:cs="仿宋"/>
          <w:color w:val="000000" w:themeColor="text1"/>
          <w:sz w:val="24"/>
          <w14:textFill>
            <w14:solidFill>
              <w14:schemeClr w14:val="tx1"/>
            </w14:solidFill>
          </w14:textFill>
        </w:rPr>
        <w:t>的《招标文件》、乙方的《投标文件》及《中标通知书》），甲、乙双方同意签订本合同。详细技术说明及其化有关合同的特定信息由合同附件予以说明，合同附件及本项目的招标文件、投标文件、《中标通知书》等均为本合同不可分割的部分。双方同意共同遵守如下条款：</w:t>
      </w:r>
    </w:p>
    <w:p w14:paraId="08133D1C">
      <w:pPr>
        <w:numPr>
          <w:ilvl w:val="0"/>
          <w:numId w:val="1"/>
        </w:numPr>
        <w:spacing w:line="360" w:lineRule="auto"/>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合同标的及数量</w:t>
      </w:r>
    </w:p>
    <w:p w14:paraId="784D8D8F">
      <w:pPr>
        <w:pStyle w:val="4"/>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14:textFill>
            <w14:solidFill>
              <w14:schemeClr w14:val="tx1"/>
            </w14:solidFill>
          </w14:textFill>
        </w:rPr>
        <w:t>乙方向甲方提供下列货物 (产品) ：</w:t>
      </w:r>
    </w:p>
    <w:p w14:paraId="782D978C">
      <w:pPr>
        <w:pStyle w:val="4"/>
        <w:jc w:val="center"/>
        <w:rPr>
          <w:rFonts w:ascii="仿宋" w:hAnsi="仿宋" w:eastAsia="仿宋" w:cs="仿宋"/>
          <w:b/>
          <w:bCs/>
          <w:color w:val="000000" w:themeColor="text1"/>
          <w14:textFill>
            <w14:solidFill>
              <w14:schemeClr w14:val="tx1"/>
            </w14:solidFill>
          </w14:textFill>
        </w:rPr>
      </w:pPr>
      <w:r>
        <w:rPr>
          <w:rFonts w:hint="eastAsia" w:ascii="仿宋" w:hAnsi="仿宋" w:eastAsia="仿宋" w:cs="仿宋"/>
          <w:b/>
          <w:bCs/>
          <w:color w:val="000000" w:themeColor="text1"/>
          <w14:textFill>
            <w14:solidFill>
              <w14:schemeClr w14:val="tx1"/>
            </w14:solidFill>
          </w14:textFill>
        </w:rPr>
        <w:t>供货一览表</w:t>
      </w:r>
    </w:p>
    <w:tbl>
      <w:tblPr>
        <w:tblStyle w:val="9"/>
        <w:tblW w:w="8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336"/>
        <w:gridCol w:w="1370"/>
        <w:gridCol w:w="1232"/>
        <w:gridCol w:w="1328"/>
        <w:gridCol w:w="1200"/>
        <w:gridCol w:w="1342"/>
      </w:tblGrid>
      <w:tr w14:paraId="214FC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788" w:type="dxa"/>
            <w:noWrap/>
            <w:vAlign w:val="center"/>
          </w:tcPr>
          <w:p w14:paraId="2C22FDD9">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序号</w:t>
            </w:r>
          </w:p>
        </w:tc>
        <w:tc>
          <w:tcPr>
            <w:tcW w:w="1336" w:type="dxa"/>
            <w:noWrap/>
            <w:vAlign w:val="center"/>
          </w:tcPr>
          <w:p w14:paraId="1B96B0C8">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货物（产品）名称</w:t>
            </w:r>
          </w:p>
        </w:tc>
        <w:tc>
          <w:tcPr>
            <w:tcW w:w="1370" w:type="dxa"/>
            <w:noWrap/>
            <w:vAlign w:val="center"/>
          </w:tcPr>
          <w:p w14:paraId="64245CB2">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品牌/规格型号</w:t>
            </w:r>
          </w:p>
        </w:tc>
        <w:tc>
          <w:tcPr>
            <w:tcW w:w="1232" w:type="dxa"/>
            <w:noWrap/>
            <w:vAlign w:val="center"/>
          </w:tcPr>
          <w:p w14:paraId="6ECC3149">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计量单位</w:t>
            </w:r>
          </w:p>
        </w:tc>
        <w:tc>
          <w:tcPr>
            <w:tcW w:w="1328" w:type="dxa"/>
            <w:noWrap/>
            <w:vAlign w:val="center"/>
          </w:tcPr>
          <w:p w14:paraId="16536A38">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数量</w:t>
            </w:r>
          </w:p>
        </w:tc>
        <w:tc>
          <w:tcPr>
            <w:tcW w:w="1200" w:type="dxa"/>
            <w:noWrap/>
            <w:vAlign w:val="center"/>
          </w:tcPr>
          <w:p w14:paraId="7B3D4597">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单价</w:t>
            </w:r>
          </w:p>
          <w:p w14:paraId="32AD4BED">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（元）</w:t>
            </w:r>
          </w:p>
        </w:tc>
        <w:tc>
          <w:tcPr>
            <w:tcW w:w="1342" w:type="dxa"/>
            <w:noWrap/>
            <w:vAlign w:val="center"/>
          </w:tcPr>
          <w:p w14:paraId="5FBA271F">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总价</w:t>
            </w:r>
          </w:p>
          <w:p w14:paraId="220A590C">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（万元）</w:t>
            </w:r>
          </w:p>
        </w:tc>
      </w:tr>
      <w:tr w14:paraId="76C24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53632D0A">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w:t>
            </w:r>
          </w:p>
        </w:tc>
        <w:tc>
          <w:tcPr>
            <w:tcW w:w="1336" w:type="dxa"/>
            <w:noWrap/>
            <w:vAlign w:val="center"/>
          </w:tcPr>
          <w:p w14:paraId="2E4FB43F">
            <w:pPr>
              <w:spacing w:line="360" w:lineRule="auto"/>
              <w:jc w:val="center"/>
              <w:rPr>
                <w:rFonts w:ascii="仿宋" w:hAnsi="仿宋" w:eastAsia="仿宋" w:cs="仿宋"/>
                <w:color w:val="000000" w:themeColor="text1"/>
                <w:sz w:val="24"/>
                <w14:textFill>
                  <w14:solidFill>
                    <w14:schemeClr w14:val="tx1"/>
                  </w14:solidFill>
                </w14:textFill>
              </w:rPr>
            </w:pPr>
          </w:p>
        </w:tc>
        <w:tc>
          <w:tcPr>
            <w:tcW w:w="1370" w:type="dxa"/>
            <w:noWrap/>
            <w:vAlign w:val="center"/>
          </w:tcPr>
          <w:p w14:paraId="41EE8A3C">
            <w:pPr>
              <w:spacing w:line="360" w:lineRule="auto"/>
              <w:jc w:val="center"/>
              <w:rPr>
                <w:rFonts w:ascii="仿宋" w:hAnsi="仿宋" w:eastAsia="仿宋" w:cs="仿宋"/>
                <w:color w:val="000000" w:themeColor="text1"/>
                <w:sz w:val="24"/>
                <w14:textFill>
                  <w14:solidFill>
                    <w14:schemeClr w14:val="tx1"/>
                  </w14:solidFill>
                </w14:textFill>
              </w:rPr>
            </w:pPr>
          </w:p>
        </w:tc>
        <w:tc>
          <w:tcPr>
            <w:tcW w:w="1232" w:type="dxa"/>
            <w:noWrap/>
            <w:vAlign w:val="center"/>
          </w:tcPr>
          <w:p w14:paraId="44C00213">
            <w:pPr>
              <w:spacing w:line="360" w:lineRule="auto"/>
              <w:jc w:val="center"/>
              <w:rPr>
                <w:rFonts w:ascii="仿宋" w:hAnsi="仿宋" w:eastAsia="仿宋" w:cs="仿宋"/>
                <w:color w:val="000000" w:themeColor="text1"/>
                <w:sz w:val="24"/>
                <w14:textFill>
                  <w14:solidFill>
                    <w14:schemeClr w14:val="tx1"/>
                  </w14:solidFill>
                </w14:textFill>
              </w:rPr>
            </w:pPr>
          </w:p>
        </w:tc>
        <w:tc>
          <w:tcPr>
            <w:tcW w:w="1328" w:type="dxa"/>
            <w:noWrap/>
            <w:vAlign w:val="center"/>
          </w:tcPr>
          <w:p w14:paraId="7D12ACFE">
            <w:pPr>
              <w:spacing w:line="360" w:lineRule="auto"/>
              <w:jc w:val="center"/>
              <w:rPr>
                <w:rFonts w:ascii="仿宋" w:hAnsi="仿宋" w:eastAsia="仿宋" w:cs="仿宋"/>
                <w:color w:val="000000" w:themeColor="text1"/>
                <w:sz w:val="24"/>
                <w14:textFill>
                  <w14:solidFill>
                    <w14:schemeClr w14:val="tx1"/>
                  </w14:solidFill>
                </w14:textFill>
              </w:rPr>
            </w:pPr>
          </w:p>
        </w:tc>
        <w:tc>
          <w:tcPr>
            <w:tcW w:w="1200" w:type="dxa"/>
            <w:noWrap/>
            <w:vAlign w:val="center"/>
          </w:tcPr>
          <w:p w14:paraId="05F7917D">
            <w:pPr>
              <w:spacing w:line="360" w:lineRule="auto"/>
              <w:jc w:val="center"/>
              <w:rPr>
                <w:rFonts w:ascii="仿宋" w:hAnsi="仿宋" w:eastAsia="仿宋" w:cs="仿宋"/>
                <w:color w:val="000000" w:themeColor="text1"/>
                <w:sz w:val="24"/>
                <w14:textFill>
                  <w14:solidFill>
                    <w14:schemeClr w14:val="tx1"/>
                  </w14:solidFill>
                </w14:textFill>
              </w:rPr>
            </w:pPr>
          </w:p>
        </w:tc>
        <w:tc>
          <w:tcPr>
            <w:tcW w:w="1342" w:type="dxa"/>
            <w:noWrap/>
            <w:vAlign w:val="center"/>
          </w:tcPr>
          <w:p w14:paraId="5DDC964D">
            <w:pPr>
              <w:spacing w:line="360" w:lineRule="auto"/>
              <w:jc w:val="center"/>
              <w:rPr>
                <w:rFonts w:ascii="仿宋" w:hAnsi="仿宋" w:eastAsia="仿宋" w:cs="仿宋"/>
                <w:color w:val="000000" w:themeColor="text1"/>
                <w:sz w:val="24"/>
                <w14:textFill>
                  <w14:solidFill>
                    <w14:schemeClr w14:val="tx1"/>
                  </w14:solidFill>
                </w14:textFill>
              </w:rPr>
            </w:pPr>
          </w:p>
        </w:tc>
      </w:tr>
      <w:tr w14:paraId="0B7E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3D2FCD46">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w:t>
            </w:r>
          </w:p>
        </w:tc>
        <w:tc>
          <w:tcPr>
            <w:tcW w:w="1336" w:type="dxa"/>
            <w:noWrap/>
            <w:vAlign w:val="center"/>
          </w:tcPr>
          <w:p w14:paraId="7B650C1C">
            <w:pPr>
              <w:spacing w:line="360" w:lineRule="auto"/>
              <w:jc w:val="center"/>
              <w:rPr>
                <w:rFonts w:ascii="仿宋" w:hAnsi="仿宋" w:eastAsia="仿宋" w:cs="仿宋"/>
                <w:color w:val="000000" w:themeColor="text1"/>
                <w:sz w:val="24"/>
                <w14:textFill>
                  <w14:solidFill>
                    <w14:schemeClr w14:val="tx1"/>
                  </w14:solidFill>
                </w14:textFill>
              </w:rPr>
            </w:pPr>
          </w:p>
        </w:tc>
        <w:tc>
          <w:tcPr>
            <w:tcW w:w="1370" w:type="dxa"/>
            <w:noWrap/>
            <w:vAlign w:val="center"/>
          </w:tcPr>
          <w:p w14:paraId="41F36832">
            <w:pPr>
              <w:spacing w:line="360" w:lineRule="auto"/>
              <w:jc w:val="center"/>
              <w:rPr>
                <w:rFonts w:ascii="仿宋" w:hAnsi="仿宋" w:eastAsia="仿宋" w:cs="仿宋"/>
                <w:color w:val="000000" w:themeColor="text1"/>
                <w:sz w:val="24"/>
                <w14:textFill>
                  <w14:solidFill>
                    <w14:schemeClr w14:val="tx1"/>
                  </w14:solidFill>
                </w14:textFill>
              </w:rPr>
            </w:pPr>
          </w:p>
        </w:tc>
        <w:tc>
          <w:tcPr>
            <w:tcW w:w="1232" w:type="dxa"/>
            <w:noWrap/>
            <w:vAlign w:val="center"/>
          </w:tcPr>
          <w:p w14:paraId="7677DDBF">
            <w:pPr>
              <w:spacing w:line="360" w:lineRule="auto"/>
              <w:jc w:val="center"/>
              <w:rPr>
                <w:rFonts w:ascii="仿宋" w:hAnsi="仿宋" w:eastAsia="仿宋" w:cs="仿宋"/>
                <w:color w:val="000000" w:themeColor="text1"/>
                <w:sz w:val="24"/>
                <w14:textFill>
                  <w14:solidFill>
                    <w14:schemeClr w14:val="tx1"/>
                  </w14:solidFill>
                </w14:textFill>
              </w:rPr>
            </w:pPr>
          </w:p>
        </w:tc>
        <w:tc>
          <w:tcPr>
            <w:tcW w:w="1328" w:type="dxa"/>
            <w:noWrap/>
            <w:vAlign w:val="center"/>
          </w:tcPr>
          <w:p w14:paraId="7F56DB55">
            <w:pPr>
              <w:spacing w:line="360" w:lineRule="auto"/>
              <w:jc w:val="center"/>
              <w:rPr>
                <w:rFonts w:ascii="仿宋" w:hAnsi="仿宋" w:eastAsia="仿宋" w:cs="仿宋"/>
                <w:color w:val="000000" w:themeColor="text1"/>
                <w:sz w:val="24"/>
                <w14:textFill>
                  <w14:solidFill>
                    <w14:schemeClr w14:val="tx1"/>
                  </w14:solidFill>
                </w14:textFill>
              </w:rPr>
            </w:pPr>
          </w:p>
        </w:tc>
        <w:tc>
          <w:tcPr>
            <w:tcW w:w="1200" w:type="dxa"/>
            <w:noWrap/>
            <w:vAlign w:val="center"/>
          </w:tcPr>
          <w:p w14:paraId="530C2D5B">
            <w:pPr>
              <w:spacing w:line="360" w:lineRule="auto"/>
              <w:jc w:val="center"/>
              <w:rPr>
                <w:rFonts w:ascii="仿宋" w:hAnsi="仿宋" w:eastAsia="仿宋" w:cs="仿宋"/>
                <w:color w:val="000000" w:themeColor="text1"/>
                <w:sz w:val="24"/>
                <w14:textFill>
                  <w14:solidFill>
                    <w14:schemeClr w14:val="tx1"/>
                  </w14:solidFill>
                </w14:textFill>
              </w:rPr>
            </w:pPr>
          </w:p>
        </w:tc>
        <w:tc>
          <w:tcPr>
            <w:tcW w:w="1342" w:type="dxa"/>
            <w:noWrap/>
            <w:vAlign w:val="center"/>
          </w:tcPr>
          <w:p w14:paraId="1C57CE23">
            <w:pPr>
              <w:spacing w:line="360" w:lineRule="auto"/>
              <w:jc w:val="center"/>
              <w:rPr>
                <w:rFonts w:ascii="仿宋" w:hAnsi="仿宋" w:eastAsia="仿宋" w:cs="仿宋"/>
                <w:color w:val="000000" w:themeColor="text1"/>
                <w:sz w:val="24"/>
                <w14:textFill>
                  <w14:solidFill>
                    <w14:schemeClr w14:val="tx1"/>
                  </w14:solidFill>
                </w14:textFill>
              </w:rPr>
            </w:pPr>
          </w:p>
        </w:tc>
      </w:tr>
      <w:tr w14:paraId="6C63E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2AEDA80C">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w:t>
            </w:r>
          </w:p>
        </w:tc>
        <w:tc>
          <w:tcPr>
            <w:tcW w:w="1336" w:type="dxa"/>
            <w:noWrap/>
            <w:vAlign w:val="center"/>
          </w:tcPr>
          <w:p w14:paraId="7C7391C5">
            <w:pPr>
              <w:spacing w:line="360" w:lineRule="auto"/>
              <w:jc w:val="center"/>
              <w:rPr>
                <w:rFonts w:ascii="仿宋" w:hAnsi="仿宋" w:eastAsia="仿宋" w:cs="仿宋"/>
                <w:color w:val="000000" w:themeColor="text1"/>
                <w:sz w:val="24"/>
                <w14:textFill>
                  <w14:solidFill>
                    <w14:schemeClr w14:val="tx1"/>
                  </w14:solidFill>
                </w14:textFill>
              </w:rPr>
            </w:pPr>
          </w:p>
        </w:tc>
        <w:tc>
          <w:tcPr>
            <w:tcW w:w="1370" w:type="dxa"/>
            <w:noWrap/>
            <w:vAlign w:val="center"/>
          </w:tcPr>
          <w:p w14:paraId="28D9C3EC">
            <w:pPr>
              <w:spacing w:line="360" w:lineRule="auto"/>
              <w:jc w:val="center"/>
              <w:rPr>
                <w:rFonts w:ascii="仿宋" w:hAnsi="仿宋" w:eastAsia="仿宋" w:cs="仿宋"/>
                <w:color w:val="000000" w:themeColor="text1"/>
                <w:sz w:val="24"/>
                <w14:textFill>
                  <w14:solidFill>
                    <w14:schemeClr w14:val="tx1"/>
                  </w14:solidFill>
                </w14:textFill>
              </w:rPr>
            </w:pPr>
          </w:p>
        </w:tc>
        <w:tc>
          <w:tcPr>
            <w:tcW w:w="1232" w:type="dxa"/>
            <w:noWrap/>
            <w:vAlign w:val="center"/>
          </w:tcPr>
          <w:p w14:paraId="3C8EBF8B">
            <w:pPr>
              <w:spacing w:line="360" w:lineRule="auto"/>
              <w:jc w:val="center"/>
              <w:rPr>
                <w:rFonts w:ascii="仿宋" w:hAnsi="仿宋" w:eastAsia="仿宋" w:cs="仿宋"/>
                <w:color w:val="000000" w:themeColor="text1"/>
                <w:sz w:val="24"/>
                <w14:textFill>
                  <w14:solidFill>
                    <w14:schemeClr w14:val="tx1"/>
                  </w14:solidFill>
                </w14:textFill>
              </w:rPr>
            </w:pPr>
          </w:p>
        </w:tc>
        <w:tc>
          <w:tcPr>
            <w:tcW w:w="1328" w:type="dxa"/>
            <w:noWrap/>
            <w:vAlign w:val="center"/>
          </w:tcPr>
          <w:p w14:paraId="5DA8690A">
            <w:pPr>
              <w:spacing w:line="360" w:lineRule="auto"/>
              <w:jc w:val="center"/>
              <w:rPr>
                <w:rFonts w:ascii="仿宋" w:hAnsi="仿宋" w:eastAsia="仿宋" w:cs="仿宋"/>
                <w:color w:val="000000" w:themeColor="text1"/>
                <w:sz w:val="24"/>
                <w14:textFill>
                  <w14:solidFill>
                    <w14:schemeClr w14:val="tx1"/>
                  </w14:solidFill>
                </w14:textFill>
              </w:rPr>
            </w:pPr>
          </w:p>
        </w:tc>
        <w:tc>
          <w:tcPr>
            <w:tcW w:w="1200" w:type="dxa"/>
            <w:noWrap/>
            <w:vAlign w:val="center"/>
          </w:tcPr>
          <w:p w14:paraId="1C9D1A3A">
            <w:pPr>
              <w:spacing w:line="360" w:lineRule="auto"/>
              <w:jc w:val="center"/>
              <w:rPr>
                <w:rFonts w:ascii="仿宋" w:hAnsi="仿宋" w:eastAsia="仿宋" w:cs="仿宋"/>
                <w:color w:val="000000" w:themeColor="text1"/>
                <w:sz w:val="24"/>
                <w14:textFill>
                  <w14:solidFill>
                    <w14:schemeClr w14:val="tx1"/>
                  </w14:solidFill>
                </w14:textFill>
              </w:rPr>
            </w:pPr>
          </w:p>
        </w:tc>
        <w:tc>
          <w:tcPr>
            <w:tcW w:w="1342" w:type="dxa"/>
            <w:noWrap/>
            <w:vAlign w:val="center"/>
          </w:tcPr>
          <w:p w14:paraId="15C3CF2A">
            <w:pPr>
              <w:spacing w:line="360" w:lineRule="auto"/>
              <w:jc w:val="center"/>
              <w:rPr>
                <w:rFonts w:ascii="仿宋" w:hAnsi="仿宋" w:eastAsia="仿宋" w:cs="仿宋"/>
                <w:color w:val="000000" w:themeColor="text1"/>
                <w:sz w:val="24"/>
                <w14:textFill>
                  <w14:solidFill>
                    <w14:schemeClr w14:val="tx1"/>
                  </w14:solidFill>
                </w14:textFill>
              </w:rPr>
            </w:pPr>
          </w:p>
        </w:tc>
      </w:tr>
      <w:tr w14:paraId="4049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1E2550A5">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w:t>
            </w:r>
          </w:p>
        </w:tc>
        <w:tc>
          <w:tcPr>
            <w:tcW w:w="1336" w:type="dxa"/>
            <w:noWrap/>
            <w:vAlign w:val="center"/>
          </w:tcPr>
          <w:p w14:paraId="04198FBA">
            <w:pPr>
              <w:spacing w:line="360" w:lineRule="auto"/>
              <w:jc w:val="center"/>
              <w:rPr>
                <w:rFonts w:ascii="仿宋" w:hAnsi="仿宋" w:eastAsia="仿宋" w:cs="仿宋"/>
                <w:color w:val="000000" w:themeColor="text1"/>
                <w:sz w:val="24"/>
                <w14:textFill>
                  <w14:solidFill>
                    <w14:schemeClr w14:val="tx1"/>
                  </w14:solidFill>
                </w14:textFill>
              </w:rPr>
            </w:pPr>
          </w:p>
        </w:tc>
        <w:tc>
          <w:tcPr>
            <w:tcW w:w="1370" w:type="dxa"/>
            <w:noWrap/>
            <w:vAlign w:val="center"/>
          </w:tcPr>
          <w:p w14:paraId="2236F7BF">
            <w:pPr>
              <w:spacing w:line="360" w:lineRule="auto"/>
              <w:jc w:val="center"/>
              <w:rPr>
                <w:rFonts w:ascii="仿宋" w:hAnsi="仿宋" w:eastAsia="仿宋" w:cs="仿宋"/>
                <w:color w:val="000000" w:themeColor="text1"/>
                <w:sz w:val="24"/>
                <w14:textFill>
                  <w14:solidFill>
                    <w14:schemeClr w14:val="tx1"/>
                  </w14:solidFill>
                </w14:textFill>
              </w:rPr>
            </w:pPr>
          </w:p>
        </w:tc>
        <w:tc>
          <w:tcPr>
            <w:tcW w:w="1232" w:type="dxa"/>
            <w:noWrap/>
            <w:vAlign w:val="center"/>
          </w:tcPr>
          <w:p w14:paraId="0C95AF1B">
            <w:pPr>
              <w:spacing w:line="360" w:lineRule="auto"/>
              <w:jc w:val="center"/>
              <w:rPr>
                <w:rFonts w:ascii="仿宋" w:hAnsi="仿宋" w:eastAsia="仿宋" w:cs="仿宋"/>
                <w:color w:val="000000" w:themeColor="text1"/>
                <w:sz w:val="24"/>
                <w14:textFill>
                  <w14:solidFill>
                    <w14:schemeClr w14:val="tx1"/>
                  </w14:solidFill>
                </w14:textFill>
              </w:rPr>
            </w:pPr>
          </w:p>
        </w:tc>
        <w:tc>
          <w:tcPr>
            <w:tcW w:w="1328" w:type="dxa"/>
            <w:noWrap/>
            <w:vAlign w:val="center"/>
          </w:tcPr>
          <w:p w14:paraId="46FB7A03">
            <w:pPr>
              <w:spacing w:line="360" w:lineRule="auto"/>
              <w:jc w:val="center"/>
              <w:rPr>
                <w:rFonts w:ascii="仿宋" w:hAnsi="仿宋" w:eastAsia="仿宋" w:cs="仿宋"/>
                <w:color w:val="000000" w:themeColor="text1"/>
                <w:sz w:val="24"/>
                <w14:textFill>
                  <w14:solidFill>
                    <w14:schemeClr w14:val="tx1"/>
                  </w14:solidFill>
                </w14:textFill>
              </w:rPr>
            </w:pPr>
          </w:p>
        </w:tc>
        <w:tc>
          <w:tcPr>
            <w:tcW w:w="1200" w:type="dxa"/>
            <w:noWrap/>
            <w:vAlign w:val="center"/>
          </w:tcPr>
          <w:p w14:paraId="533E412E">
            <w:pPr>
              <w:spacing w:line="360" w:lineRule="auto"/>
              <w:jc w:val="center"/>
              <w:rPr>
                <w:rFonts w:ascii="仿宋" w:hAnsi="仿宋" w:eastAsia="仿宋" w:cs="仿宋"/>
                <w:color w:val="000000" w:themeColor="text1"/>
                <w:sz w:val="24"/>
                <w14:textFill>
                  <w14:solidFill>
                    <w14:schemeClr w14:val="tx1"/>
                  </w14:solidFill>
                </w14:textFill>
              </w:rPr>
            </w:pPr>
          </w:p>
        </w:tc>
        <w:tc>
          <w:tcPr>
            <w:tcW w:w="1342" w:type="dxa"/>
            <w:noWrap/>
            <w:vAlign w:val="center"/>
          </w:tcPr>
          <w:p w14:paraId="06BCB2A0">
            <w:pPr>
              <w:spacing w:line="360" w:lineRule="auto"/>
              <w:jc w:val="center"/>
              <w:rPr>
                <w:rFonts w:ascii="仿宋" w:hAnsi="仿宋" w:eastAsia="仿宋" w:cs="仿宋"/>
                <w:color w:val="000000" w:themeColor="text1"/>
                <w:sz w:val="24"/>
                <w14:textFill>
                  <w14:solidFill>
                    <w14:schemeClr w14:val="tx1"/>
                  </w14:solidFill>
                </w14:textFill>
              </w:rPr>
            </w:pPr>
          </w:p>
        </w:tc>
      </w:tr>
      <w:tr w14:paraId="49B0D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05F34D01">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5</w:t>
            </w:r>
          </w:p>
        </w:tc>
        <w:tc>
          <w:tcPr>
            <w:tcW w:w="1336" w:type="dxa"/>
            <w:noWrap/>
            <w:vAlign w:val="center"/>
          </w:tcPr>
          <w:p w14:paraId="042D3556">
            <w:pPr>
              <w:spacing w:line="360" w:lineRule="auto"/>
              <w:jc w:val="center"/>
              <w:rPr>
                <w:rFonts w:ascii="仿宋" w:hAnsi="仿宋" w:eastAsia="仿宋" w:cs="仿宋"/>
                <w:color w:val="000000" w:themeColor="text1"/>
                <w:sz w:val="24"/>
                <w14:textFill>
                  <w14:solidFill>
                    <w14:schemeClr w14:val="tx1"/>
                  </w14:solidFill>
                </w14:textFill>
              </w:rPr>
            </w:pPr>
          </w:p>
        </w:tc>
        <w:tc>
          <w:tcPr>
            <w:tcW w:w="1370" w:type="dxa"/>
            <w:noWrap/>
            <w:vAlign w:val="center"/>
          </w:tcPr>
          <w:p w14:paraId="6665C859">
            <w:pPr>
              <w:spacing w:line="360" w:lineRule="auto"/>
              <w:jc w:val="center"/>
              <w:rPr>
                <w:rFonts w:ascii="仿宋" w:hAnsi="仿宋" w:eastAsia="仿宋" w:cs="仿宋"/>
                <w:color w:val="000000" w:themeColor="text1"/>
                <w:sz w:val="24"/>
                <w14:textFill>
                  <w14:solidFill>
                    <w14:schemeClr w14:val="tx1"/>
                  </w14:solidFill>
                </w14:textFill>
              </w:rPr>
            </w:pPr>
          </w:p>
        </w:tc>
        <w:tc>
          <w:tcPr>
            <w:tcW w:w="1232" w:type="dxa"/>
            <w:noWrap/>
            <w:vAlign w:val="center"/>
          </w:tcPr>
          <w:p w14:paraId="1CC7647E">
            <w:pPr>
              <w:spacing w:line="360" w:lineRule="auto"/>
              <w:jc w:val="center"/>
              <w:rPr>
                <w:rFonts w:ascii="仿宋" w:hAnsi="仿宋" w:eastAsia="仿宋" w:cs="仿宋"/>
                <w:color w:val="000000" w:themeColor="text1"/>
                <w:sz w:val="24"/>
                <w14:textFill>
                  <w14:solidFill>
                    <w14:schemeClr w14:val="tx1"/>
                  </w14:solidFill>
                </w14:textFill>
              </w:rPr>
            </w:pPr>
          </w:p>
        </w:tc>
        <w:tc>
          <w:tcPr>
            <w:tcW w:w="1328" w:type="dxa"/>
            <w:noWrap/>
            <w:vAlign w:val="center"/>
          </w:tcPr>
          <w:p w14:paraId="1BAE11E2">
            <w:pPr>
              <w:spacing w:line="360" w:lineRule="auto"/>
              <w:jc w:val="center"/>
              <w:rPr>
                <w:rFonts w:ascii="仿宋" w:hAnsi="仿宋" w:eastAsia="仿宋" w:cs="仿宋"/>
                <w:color w:val="000000" w:themeColor="text1"/>
                <w:sz w:val="24"/>
                <w14:textFill>
                  <w14:solidFill>
                    <w14:schemeClr w14:val="tx1"/>
                  </w14:solidFill>
                </w14:textFill>
              </w:rPr>
            </w:pPr>
          </w:p>
        </w:tc>
        <w:tc>
          <w:tcPr>
            <w:tcW w:w="1200" w:type="dxa"/>
            <w:noWrap/>
            <w:vAlign w:val="center"/>
          </w:tcPr>
          <w:p w14:paraId="2F35FB93">
            <w:pPr>
              <w:spacing w:line="360" w:lineRule="auto"/>
              <w:jc w:val="center"/>
              <w:rPr>
                <w:rFonts w:ascii="仿宋" w:hAnsi="仿宋" w:eastAsia="仿宋" w:cs="仿宋"/>
                <w:color w:val="000000" w:themeColor="text1"/>
                <w:sz w:val="24"/>
                <w14:textFill>
                  <w14:solidFill>
                    <w14:schemeClr w14:val="tx1"/>
                  </w14:solidFill>
                </w14:textFill>
              </w:rPr>
            </w:pPr>
          </w:p>
        </w:tc>
        <w:tc>
          <w:tcPr>
            <w:tcW w:w="1342" w:type="dxa"/>
            <w:noWrap/>
            <w:vAlign w:val="center"/>
          </w:tcPr>
          <w:p w14:paraId="657D0D4F">
            <w:pPr>
              <w:spacing w:line="360" w:lineRule="auto"/>
              <w:jc w:val="center"/>
              <w:rPr>
                <w:rFonts w:ascii="仿宋" w:hAnsi="仿宋" w:eastAsia="仿宋" w:cs="仿宋"/>
                <w:color w:val="000000" w:themeColor="text1"/>
                <w:sz w:val="24"/>
                <w14:textFill>
                  <w14:solidFill>
                    <w14:schemeClr w14:val="tx1"/>
                  </w14:solidFill>
                </w14:textFill>
              </w:rPr>
            </w:pPr>
          </w:p>
        </w:tc>
      </w:tr>
      <w:tr w14:paraId="6D2F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4C659AEA">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6</w:t>
            </w:r>
          </w:p>
        </w:tc>
        <w:tc>
          <w:tcPr>
            <w:tcW w:w="1336" w:type="dxa"/>
            <w:noWrap/>
            <w:vAlign w:val="center"/>
          </w:tcPr>
          <w:p w14:paraId="5CA6D6F8">
            <w:pPr>
              <w:spacing w:line="360" w:lineRule="auto"/>
              <w:jc w:val="center"/>
              <w:rPr>
                <w:rFonts w:ascii="仿宋" w:hAnsi="仿宋" w:eastAsia="仿宋" w:cs="仿宋"/>
                <w:color w:val="000000" w:themeColor="text1"/>
                <w:sz w:val="24"/>
                <w14:textFill>
                  <w14:solidFill>
                    <w14:schemeClr w14:val="tx1"/>
                  </w14:solidFill>
                </w14:textFill>
              </w:rPr>
            </w:pPr>
          </w:p>
        </w:tc>
        <w:tc>
          <w:tcPr>
            <w:tcW w:w="1370" w:type="dxa"/>
            <w:noWrap/>
            <w:vAlign w:val="center"/>
          </w:tcPr>
          <w:p w14:paraId="6CFE734E">
            <w:pPr>
              <w:spacing w:line="360" w:lineRule="auto"/>
              <w:jc w:val="center"/>
              <w:rPr>
                <w:rFonts w:ascii="仿宋" w:hAnsi="仿宋" w:eastAsia="仿宋" w:cs="仿宋"/>
                <w:color w:val="000000" w:themeColor="text1"/>
                <w:sz w:val="24"/>
                <w14:textFill>
                  <w14:solidFill>
                    <w14:schemeClr w14:val="tx1"/>
                  </w14:solidFill>
                </w14:textFill>
              </w:rPr>
            </w:pPr>
          </w:p>
        </w:tc>
        <w:tc>
          <w:tcPr>
            <w:tcW w:w="1232" w:type="dxa"/>
            <w:noWrap/>
            <w:vAlign w:val="center"/>
          </w:tcPr>
          <w:p w14:paraId="0AE5A6BB">
            <w:pPr>
              <w:spacing w:line="360" w:lineRule="auto"/>
              <w:jc w:val="center"/>
              <w:rPr>
                <w:rFonts w:ascii="仿宋" w:hAnsi="仿宋" w:eastAsia="仿宋" w:cs="仿宋"/>
                <w:color w:val="000000" w:themeColor="text1"/>
                <w:sz w:val="24"/>
                <w14:textFill>
                  <w14:solidFill>
                    <w14:schemeClr w14:val="tx1"/>
                  </w14:solidFill>
                </w14:textFill>
              </w:rPr>
            </w:pPr>
          </w:p>
        </w:tc>
        <w:tc>
          <w:tcPr>
            <w:tcW w:w="1328" w:type="dxa"/>
            <w:noWrap/>
            <w:vAlign w:val="center"/>
          </w:tcPr>
          <w:p w14:paraId="70DA8BA9">
            <w:pPr>
              <w:spacing w:line="360" w:lineRule="auto"/>
              <w:jc w:val="center"/>
              <w:rPr>
                <w:rFonts w:ascii="仿宋" w:hAnsi="仿宋" w:eastAsia="仿宋" w:cs="仿宋"/>
                <w:color w:val="000000" w:themeColor="text1"/>
                <w:sz w:val="24"/>
                <w14:textFill>
                  <w14:solidFill>
                    <w14:schemeClr w14:val="tx1"/>
                  </w14:solidFill>
                </w14:textFill>
              </w:rPr>
            </w:pPr>
          </w:p>
        </w:tc>
        <w:tc>
          <w:tcPr>
            <w:tcW w:w="1200" w:type="dxa"/>
            <w:noWrap/>
            <w:vAlign w:val="center"/>
          </w:tcPr>
          <w:p w14:paraId="4AF50890">
            <w:pPr>
              <w:spacing w:line="360" w:lineRule="auto"/>
              <w:jc w:val="center"/>
              <w:rPr>
                <w:rFonts w:ascii="仿宋" w:hAnsi="仿宋" w:eastAsia="仿宋" w:cs="仿宋"/>
                <w:color w:val="000000" w:themeColor="text1"/>
                <w:sz w:val="24"/>
                <w14:textFill>
                  <w14:solidFill>
                    <w14:schemeClr w14:val="tx1"/>
                  </w14:solidFill>
                </w14:textFill>
              </w:rPr>
            </w:pPr>
          </w:p>
        </w:tc>
        <w:tc>
          <w:tcPr>
            <w:tcW w:w="1342" w:type="dxa"/>
            <w:noWrap/>
            <w:vAlign w:val="center"/>
          </w:tcPr>
          <w:p w14:paraId="587DBC89">
            <w:pPr>
              <w:spacing w:line="360" w:lineRule="auto"/>
              <w:jc w:val="center"/>
              <w:rPr>
                <w:rFonts w:ascii="仿宋" w:hAnsi="仿宋" w:eastAsia="仿宋" w:cs="仿宋"/>
                <w:color w:val="000000" w:themeColor="text1"/>
                <w:sz w:val="24"/>
                <w14:textFill>
                  <w14:solidFill>
                    <w14:schemeClr w14:val="tx1"/>
                  </w14:solidFill>
                </w14:textFill>
              </w:rPr>
            </w:pPr>
          </w:p>
        </w:tc>
      </w:tr>
      <w:tr w14:paraId="680B6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6C70E337">
            <w:pPr>
              <w:spacing w:line="360" w:lineRule="auto"/>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w:t>
            </w:r>
          </w:p>
        </w:tc>
        <w:tc>
          <w:tcPr>
            <w:tcW w:w="1336" w:type="dxa"/>
            <w:noWrap/>
            <w:vAlign w:val="center"/>
          </w:tcPr>
          <w:p w14:paraId="641B61E6">
            <w:pPr>
              <w:spacing w:line="360" w:lineRule="auto"/>
              <w:jc w:val="center"/>
              <w:rPr>
                <w:rFonts w:ascii="仿宋" w:hAnsi="仿宋" w:eastAsia="仿宋" w:cs="仿宋"/>
                <w:color w:val="000000" w:themeColor="text1"/>
                <w:sz w:val="24"/>
                <w14:textFill>
                  <w14:solidFill>
                    <w14:schemeClr w14:val="tx1"/>
                  </w14:solidFill>
                </w14:textFill>
              </w:rPr>
            </w:pPr>
          </w:p>
        </w:tc>
        <w:tc>
          <w:tcPr>
            <w:tcW w:w="1370" w:type="dxa"/>
            <w:noWrap/>
            <w:vAlign w:val="center"/>
          </w:tcPr>
          <w:p w14:paraId="04B479C9">
            <w:pPr>
              <w:spacing w:line="360" w:lineRule="auto"/>
              <w:jc w:val="center"/>
              <w:rPr>
                <w:rFonts w:ascii="仿宋" w:hAnsi="仿宋" w:eastAsia="仿宋" w:cs="仿宋"/>
                <w:color w:val="000000" w:themeColor="text1"/>
                <w:sz w:val="24"/>
                <w14:textFill>
                  <w14:solidFill>
                    <w14:schemeClr w14:val="tx1"/>
                  </w14:solidFill>
                </w14:textFill>
              </w:rPr>
            </w:pPr>
          </w:p>
        </w:tc>
        <w:tc>
          <w:tcPr>
            <w:tcW w:w="1232" w:type="dxa"/>
            <w:noWrap/>
            <w:vAlign w:val="center"/>
          </w:tcPr>
          <w:p w14:paraId="4669961D">
            <w:pPr>
              <w:spacing w:line="360" w:lineRule="auto"/>
              <w:jc w:val="center"/>
              <w:rPr>
                <w:rFonts w:ascii="仿宋" w:hAnsi="仿宋" w:eastAsia="仿宋" w:cs="仿宋"/>
                <w:color w:val="000000" w:themeColor="text1"/>
                <w:sz w:val="24"/>
                <w14:textFill>
                  <w14:solidFill>
                    <w14:schemeClr w14:val="tx1"/>
                  </w14:solidFill>
                </w14:textFill>
              </w:rPr>
            </w:pPr>
          </w:p>
        </w:tc>
        <w:tc>
          <w:tcPr>
            <w:tcW w:w="1328" w:type="dxa"/>
            <w:noWrap/>
            <w:vAlign w:val="center"/>
          </w:tcPr>
          <w:p w14:paraId="7D652155">
            <w:pPr>
              <w:spacing w:line="360" w:lineRule="auto"/>
              <w:jc w:val="center"/>
              <w:rPr>
                <w:rFonts w:ascii="仿宋" w:hAnsi="仿宋" w:eastAsia="仿宋" w:cs="仿宋"/>
                <w:color w:val="000000" w:themeColor="text1"/>
                <w:sz w:val="24"/>
                <w14:textFill>
                  <w14:solidFill>
                    <w14:schemeClr w14:val="tx1"/>
                  </w14:solidFill>
                </w14:textFill>
              </w:rPr>
            </w:pPr>
          </w:p>
        </w:tc>
        <w:tc>
          <w:tcPr>
            <w:tcW w:w="1200" w:type="dxa"/>
            <w:noWrap/>
            <w:vAlign w:val="center"/>
          </w:tcPr>
          <w:p w14:paraId="53873F11">
            <w:pPr>
              <w:spacing w:line="360" w:lineRule="auto"/>
              <w:jc w:val="center"/>
              <w:rPr>
                <w:rFonts w:ascii="仿宋" w:hAnsi="仿宋" w:eastAsia="仿宋" w:cs="仿宋"/>
                <w:color w:val="000000" w:themeColor="text1"/>
                <w:sz w:val="24"/>
                <w14:textFill>
                  <w14:solidFill>
                    <w14:schemeClr w14:val="tx1"/>
                  </w14:solidFill>
                </w14:textFill>
              </w:rPr>
            </w:pPr>
          </w:p>
        </w:tc>
        <w:tc>
          <w:tcPr>
            <w:tcW w:w="1342" w:type="dxa"/>
            <w:noWrap/>
            <w:vAlign w:val="center"/>
          </w:tcPr>
          <w:p w14:paraId="4F86E38D">
            <w:pPr>
              <w:spacing w:line="360" w:lineRule="auto"/>
              <w:jc w:val="center"/>
              <w:rPr>
                <w:rFonts w:ascii="仿宋" w:hAnsi="仿宋" w:eastAsia="仿宋" w:cs="仿宋"/>
                <w:color w:val="000000" w:themeColor="text1"/>
                <w:sz w:val="24"/>
                <w14:textFill>
                  <w14:solidFill>
                    <w14:schemeClr w14:val="tx1"/>
                  </w14:solidFill>
                </w14:textFill>
              </w:rPr>
            </w:pPr>
          </w:p>
        </w:tc>
      </w:tr>
      <w:tr w14:paraId="753DD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124" w:type="dxa"/>
            <w:gridSpan w:val="2"/>
            <w:noWrap/>
            <w:vAlign w:val="center"/>
          </w:tcPr>
          <w:p w14:paraId="2544768A">
            <w:pPr>
              <w:spacing w:line="360" w:lineRule="auto"/>
              <w:jc w:val="center"/>
              <w:rPr>
                <w:rFonts w:ascii="仿宋" w:hAnsi="仿宋" w:eastAsia="仿宋" w:cs="仿宋"/>
                <w:b/>
                <w:bCs/>
                <w:color w:val="000000" w:themeColor="text1"/>
                <w:sz w:val="24"/>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合计金额：</w:t>
            </w:r>
          </w:p>
        </w:tc>
        <w:tc>
          <w:tcPr>
            <w:tcW w:w="6472" w:type="dxa"/>
            <w:gridSpan w:val="5"/>
            <w:noWrap/>
            <w:vAlign w:val="center"/>
          </w:tcPr>
          <w:p w14:paraId="001EE144">
            <w:pPr>
              <w:spacing w:line="360" w:lineRule="auto"/>
              <w:jc w:val="center"/>
              <w:rPr>
                <w:rFonts w:ascii="仿宋" w:hAnsi="仿宋" w:eastAsia="仿宋" w:cs="仿宋"/>
                <w:b/>
                <w:bCs/>
                <w:color w:val="000000" w:themeColor="text1"/>
                <w:sz w:val="24"/>
                <w:u w:val="single"/>
                <w14:textFill>
                  <w14:solidFill>
                    <w14:schemeClr w14:val="tx1"/>
                  </w14:solidFill>
                </w14:textFill>
              </w:rPr>
            </w:pPr>
            <w:r>
              <w:rPr>
                <w:rFonts w:hint="eastAsia" w:ascii="仿宋" w:hAnsi="仿宋" w:eastAsia="仿宋" w:cs="仿宋"/>
                <w:b/>
                <w:bCs/>
                <w:color w:val="000000" w:themeColor="text1"/>
                <w:sz w:val="24"/>
                <w14:textFill>
                  <w14:solidFill>
                    <w14:schemeClr w14:val="tx1"/>
                  </w14:solidFill>
                </w14:textFill>
              </w:rPr>
              <w:t>¥元；大写：</w:t>
            </w:r>
          </w:p>
        </w:tc>
      </w:tr>
    </w:tbl>
    <w:p w14:paraId="56EC731A">
      <w:pPr>
        <w:spacing w:line="360" w:lineRule="auto"/>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二、合同总价</w:t>
      </w:r>
    </w:p>
    <w:p w14:paraId="6E8BF1B0">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合同总价为人民币大写：，即RMB￥元；该合同总价已包括货物设计、材料、制造、保管、运输、保险费以及安装、调试、检验费(含设备安装验收取证费)及验收合格交付使用之前及保修期内保修服务与备用物件等所有其他有关各项的含税费用。本合同总价还包含乙方应当提供的伴随服务和售后服务费用，已包含在合同价中。本合同执行期间合同总价不变，甲方无须另向乙方支付本合同规定之外的其他任何费用。</w:t>
      </w:r>
    </w:p>
    <w:p w14:paraId="14AB6D6E">
      <w:pPr>
        <w:spacing w:line="360" w:lineRule="auto"/>
        <w:rPr>
          <w:rFonts w:ascii="仿宋" w:hAnsi="仿宋" w:eastAsia="仿宋" w:cs="仿宋"/>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三、交货期限与地点</w:t>
      </w:r>
    </w:p>
    <w:p w14:paraId="16F080DA">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w:t>
      </w:r>
      <w:r>
        <w:rPr>
          <w:rFonts w:hint="eastAsia" w:ascii="仿宋" w:hAnsi="仿宋" w:eastAsia="仿宋" w:cs="仿宋"/>
          <w:bCs/>
          <w:color w:val="000000" w:themeColor="text1"/>
          <w:sz w:val="24"/>
          <w14:textFill>
            <w14:solidFill>
              <w14:schemeClr w14:val="tx1"/>
            </w14:solidFill>
          </w14:textFill>
        </w:rPr>
        <w:t>交货期限：</w:t>
      </w:r>
      <w:r>
        <w:rPr>
          <w:rFonts w:hint="eastAsia" w:ascii="仿宋" w:hAnsi="仿宋" w:eastAsia="仿宋" w:cs="仿宋"/>
          <w:color w:val="000000" w:themeColor="text1"/>
          <w:sz w:val="24"/>
          <w14:textFill>
            <w14:solidFill>
              <w14:schemeClr w14:val="tx1"/>
            </w14:solidFill>
          </w14:textFill>
        </w:rPr>
        <w:t>自合同签订之日起 15 日历天内完成所有产品的供货、安装、调试工作。</w:t>
      </w:r>
    </w:p>
    <w:p w14:paraId="2CCB5B79">
      <w:pPr>
        <w:pStyle w:val="4"/>
        <w:spacing w:line="360" w:lineRule="auto"/>
        <w:rPr>
          <w:rFonts w:ascii="仿宋" w:hAnsi="仿宋" w:eastAsia="仿宋" w:cs="仿宋"/>
          <w:color w:val="000000" w:themeColor="text1"/>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    2、供货地点：甲方指定地点。</w:t>
      </w:r>
    </w:p>
    <w:p w14:paraId="568A36F2">
      <w:pPr>
        <w:spacing w:line="360" w:lineRule="auto"/>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四、付款方式</w:t>
      </w:r>
    </w:p>
    <w:p w14:paraId="39B68211">
      <w:pPr>
        <w:pStyle w:val="4"/>
        <w:spacing w:line="360" w:lineRule="auto"/>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（1）结算方式：银行转账。</w:t>
      </w:r>
    </w:p>
    <w:p w14:paraId="775D913B">
      <w:pPr>
        <w:pStyle w:val="4"/>
        <w:spacing w:line="360" w:lineRule="auto"/>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（2）付款方式：</w:t>
      </w:r>
    </w:p>
    <w:p w14:paraId="55A622BE">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2.1终验收合格后支付。</w:t>
      </w:r>
    </w:p>
    <w:p w14:paraId="6CB54750">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2.2由采购人负责结算，在付款前，供应商必须开具相应金额发票给采购人（附详细清单）。  </w:t>
      </w:r>
    </w:p>
    <w:p w14:paraId="5DAE2F2A">
      <w:pPr>
        <w:spacing w:line="360" w:lineRule="auto"/>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五、货物验收</w:t>
      </w:r>
    </w:p>
    <w:p w14:paraId="41047B42">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1.货物验收由甲方组织，乙方配合，并按下列程序进行：</w:t>
      </w:r>
    </w:p>
    <w:p w14:paraId="2333075D">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 供货验收时，乙方须提供质检部门产品抽样检查合格的检测报告(或生产厂家自检报告)及所提供货物(产品)的合格证、装箱清单、配件、随机工具、用户使用手册 (产品使用说明书)、保修卡等资料交付给甲方；</w:t>
      </w:r>
    </w:p>
    <w:p w14:paraId="7973092A">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 到货验收：货物到达后，按合同第一条款的货物清单和装箱单经行逐一核对， 同时检查货物外观，是否有划痕或破损的，并做好相应记录；</w:t>
      </w:r>
    </w:p>
    <w:p w14:paraId="227419F1">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按乙方承诺的产品包装环保材料进行验收，必要时乙方需提供检测报告，甲方发现虚假承诺时，将扣除总货款的5%作为处罚。</w:t>
      </w:r>
    </w:p>
    <w:p w14:paraId="4D766296">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项目使用前由具有相关资质的环境检测机构，对所供货物安装或摆放的室内空间进行甲醛等有害气体清除并做空气质量检测验收，符合《符合室内空气质量标准》（GB/T1883-2002）要求，并提供检测报告，若是由于所供货物造成检测不符合标准或不合格，供应商应及时进行整改或免费更换，直至检测合格后再进行设备终验。</w:t>
      </w:r>
    </w:p>
    <w:p w14:paraId="1834A67C">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 质量验收合格，双方签署质量验收报告。</w:t>
      </w:r>
    </w:p>
    <w:p w14:paraId="1F6DE543">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 2.货物验收依据：</w:t>
      </w:r>
    </w:p>
    <w:p w14:paraId="0F11B377">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 招标文件；</w:t>
      </w:r>
    </w:p>
    <w:p w14:paraId="6E2379F4">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 投标文件；</w:t>
      </w:r>
    </w:p>
    <w:p w14:paraId="3BD8A517">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 采购合同及补充协议；</w:t>
      </w:r>
    </w:p>
    <w:p w14:paraId="6B626748">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(4) 质检部门抽样检查货物(产品)合格的检测报告。 </w:t>
      </w:r>
    </w:p>
    <w:p w14:paraId="33210772">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3.货物验收时发现问题的处理办法：</w:t>
      </w:r>
    </w:p>
    <w:p w14:paraId="6584647A">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 乙方提供不符合招标文件和本合同规定的货物(产品)，甲方有权拒绝接受；</w:t>
      </w:r>
    </w:p>
    <w:p w14:paraId="7A856E49">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 如发现所交付的货物有短装、次品、损坏或其它不符合标准及本合同规定之情形者，甲方有权要求更换货物 (产品)，同时做出详尽的现场记录，或由甲乙双方签署备忘录，此现场记录或备忘录可用作补充、缺失和更换损坏部件或更换整个货物 (产品) 有效证据，由此产生的时间延 误与有关费用由乙方承担，验收期限相应顺延；</w:t>
      </w:r>
    </w:p>
    <w:p w14:paraId="31766715">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 如货物经乙方</w:t>
      </w:r>
      <w:r>
        <w:rPr>
          <w:rFonts w:hint="eastAsia" w:ascii="仿宋" w:hAnsi="仿宋" w:eastAsia="仿宋" w:cs="仿宋"/>
          <w:color w:val="000000" w:themeColor="text1"/>
          <w:sz w:val="24"/>
          <w:u w:val="single"/>
          <w14:textFill>
            <w14:solidFill>
              <w14:schemeClr w14:val="tx1"/>
            </w14:solidFill>
          </w14:textFill>
        </w:rPr>
        <w:t xml:space="preserve"> 3 </w:t>
      </w:r>
      <w:r>
        <w:rPr>
          <w:rFonts w:hint="eastAsia" w:ascii="仿宋" w:hAnsi="仿宋" w:eastAsia="仿宋" w:cs="仿宋"/>
          <w:color w:val="000000" w:themeColor="text1"/>
          <w:sz w:val="24"/>
          <w14:textFill>
            <w14:solidFill>
              <w14:schemeClr w14:val="tx1"/>
            </w14:solidFill>
          </w14:textFill>
        </w:rPr>
        <w:t>次维修仍不能达到合同约定的质量标准，甲方有权退货，并视作乙方 不能交付货物而须支付违约赔偿金给甲方，甲方还可依法追究乙方的违约责任；</w:t>
      </w:r>
    </w:p>
    <w:p w14:paraId="1F1BDA83">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 货物安装完成后</w:t>
      </w:r>
      <w:r>
        <w:rPr>
          <w:rFonts w:hint="eastAsia" w:ascii="仿宋" w:hAnsi="仿宋" w:eastAsia="仿宋" w:cs="仿宋"/>
          <w:color w:val="000000" w:themeColor="text1"/>
          <w:sz w:val="24"/>
          <w:u w:val="single"/>
          <w14:textFill>
            <w14:solidFill>
              <w14:schemeClr w14:val="tx1"/>
            </w14:solidFill>
          </w14:textFill>
        </w:rPr>
        <w:t xml:space="preserve"> 5 </w:t>
      </w:r>
      <w:r>
        <w:rPr>
          <w:rFonts w:hint="eastAsia" w:ascii="仿宋" w:hAnsi="仿宋" w:eastAsia="仿宋" w:cs="仿宋"/>
          <w:color w:val="000000" w:themeColor="text1"/>
          <w:sz w:val="24"/>
          <w14:textFill>
            <w14:solidFill>
              <w14:schemeClr w14:val="tx1"/>
            </w14:solidFill>
          </w14:textFill>
        </w:rPr>
        <w:t>日内，甲方无故不进行验收工作并已使用货物的，视同已安装调试完成并验收合格；</w:t>
      </w:r>
    </w:p>
    <w:p w14:paraId="404273E9">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(5) 乙方不能完整交付货物及本条第一款规定的单证和工具的，必须负责补齐，否则视为未按合同约定供货。</w:t>
      </w:r>
    </w:p>
    <w:p w14:paraId="776F7521">
      <w:pPr>
        <w:spacing w:line="360" w:lineRule="auto"/>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六、质量要求</w:t>
      </w:r>
    </w:p>
    <w:p w14:paraId="4B925379">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1、乙方须提供全新的货物、未使用过的合格正品货物（含零部件、配件等），表面无划伤、无碰撞痕迹，且权属清楚，不得侵害他人的知识产权。</w:t>
      </w:r>
    </w:p>
    <w:p w14:paraId="168D02E7">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2、乙方提供的节能和环保产品必须是列入节能、环保标志产品品目清单中的产品。</w:t>
      </w:r>
    </w:p>
    <w:p w14:paraId="393D56F0">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3、质量标准按照最新颁布的国家标准、行业标准或制造商企业标准确定，上述标准不一致的，以严格标准为准。</w:t>
      </w:r>
    </w:p>
    <w:p w14:paraId="2111A85E">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4、货物制造质量出现问题，乙方应负责三包（包修、包换、包退），费用由乙方负担，甲方有权到乙方生产场地检查货物质量和生产进度。</w:t>
      </w:r>
    </w:p>
    <w:p w14:paraId="44AE1C0C">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5、乙方所提供货物还应符合国家和陕西省有关安全、环保、节能之规定，“3C”认证的货物（产品）应加贴“3C”认证标志。 </w:t>
      </w:r>
    </w:p>
    <w:p w14:paraId="033D2E94">
      <w:pPr>
        <w:pStyle w:val="7"/>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6、质保期</w:t>
      </w:r>
      <w:r>
        <w:rPr>
          <w:rFonts w:hint="eastAsia" w:ascii="仿宋" w:hAnsi="仿宋" w:eastAsia="仿宋" w:cs="仿宋"/>
          <w:color w:val="000000" w:themeColor="text1"/>
          <w:sz w:val="24"/>
          <w:szCs w:val="24"/>
          <w14:textFill>
            <w14:solidFill>
              <w14:schemeClr w14:val="tx1"/>
            </w14:solidFill>
          </w14:textFill>
        </w:rPr>
        <w:t>：质保期大于等于 1 年，且不得低于产品生产商对产品保修期标准。</w:t>
      </w:r>
    </w:p>
    <w:p w14:paraId="2DFFE11C">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7、电子产品必须具有扩展性、兼容性、稳定性以及能与学校现有的市区网络设备和平台相匹配对接功能和端口。计算机不得是组装机。（如涉及）</w:t>
      </w:r>
    </w:p>
    <w:p w14:paraId="72A299FB">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8、供应商</w:t>
      </w:r>
      <w:r>
        <w:rPr>
          <w:rFonts w:ascii="仿宋" w:hAnsi="仿宋" w:eastAsia="仿宋" w:cs="仿宋"/>
          <w:color w:val="000000" w:themeColor="text1"/>
          <w:sz w:val="24"/>
          <w14:textFill>
            <w14:solidFill>
              <w14:schemeClr w14:val="tx1"/>
            </w14:solidFill>
          </w14:textFill>
        </w:rPr>
        <w:t>提供的产品及材料必须保证质量可靠，为市场最新或主流产品，产品具有合格证，进货渠道正常，配置合理齐全，应全部满足（或高于优于）招标文件的要求，招标文件未明确要求的内容，</w:t>
      </w:r>
      <w:r>
        <w:rPr>
          <w:rFonts w:hint="eastAsia" w:ascii="仿宋" w:hAnsi="仿宋" w:eastAsia="仿宋" w:cs="仿宋"/>
          <w:color w:val="000000" w:themeColor="text1"/>
          <w:sz w:val="24"/>
          <w14:textFill>
            <w14:solidFill>
              <w14:schemeClr w14:val="tx1"/>
            </w14:solidFill>
          </w14:textFill>
        </w:rPr>
        <w:t>供应商</w:t>
      </w:r>
      <w:r>
        <w:rPr>
          <w:rFonts w:ascii="仿宋" w:hAnsi="仿宋" w:eastAsia="仿宋" w:cs="仿宋"/>
          <w:color w:val="000000" w:themeColor="text1"/>
          <w:sz w:val="24"/>
          <w14:textFill>
            <w14:solidFill>
              <w14:schemeClr w14:val="tx1"/>
            </w14:solidFill>
          </w14:textFill>
        </w:rPr>
        <w:t>必须按采购产品市场主流标准配置和采购人补充要求为准。所供产品所用原料和材料及工艺质量必须符合国家最新颁布的各项规范标准和制度要求，如发生质量问题由</w:t>
      </w:r>
      <w:r>
        <w:rPr>
          <w:rFonts w:hint="eastAsia" w:ascii="仿宋" w:hAnsi="仿宋" w:eastAsia="仿宋" w:cs="仿宋"/>
          <w:color w:val="000000" w:themeColor="text1"/>
          <w:sz w:val="24"/>
          <w14:textFill>
            <w14:solidFill>
              <w14:schemeClr w14:val="tx1"/>
            </w14:solidFill>
          </w14:textFill>
        </w:rPr>
        <w:t>供应商</w:t>
      </w:r>
      <w:r>
        <w:rPr>
          <w:rFonts w:ascii="仿宋" w:hAnsi="仿宋" w:eastAsia="仿宋" w:cs="仿宋"/>
          <w:color w:val="000000" w:themeColor="text1"/>
          <w:sz w:val="24"/>
          <w14:textFill>
            <w14:solidFill>
              <w14:schemeClr w14:val="tx1"/>
            </w14:solidFill>
          </w14:textFill>
        </w:rPr>
        <w:t>承担全部责任。为幼儿园提供的产品一定要符合国家对幼儿产品的环保及安全要求。</w:t>
      </w:r>
    </w:p>
    <w:p w14:paraId="3BE25DB3">
      <w:pPr>
        <w:spacing w:line="360" w:lineRule="auto"/>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七、运输、安装、调试要求</w:t>
      </w:r>
    </w:p>
    <w:p w14:paraId="505004D3">
      <w:pPr>
        <w:tabs>
          <w:tab w:val="left" w:pos="840"/>
        </w:tabs>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供应商根据产品特性，自行选择运输及包装方式，承担一切运输费用，包括从生产厂到采购人指定供货地点所需的装卸、运输（含保险费）及其他一切费用；货物风险自采购人收到货物且书面验收合格后转移至采购人。</w:t>
      </w:r>
    </w:p>
    <w:p w14:paraId="7030E1C1">
      <w:pPr>
        <w:tabs>
          <w:tab w:val="left" w:pos="840"/>
        </w:tabs>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2、由供应商负责派技术人员到现场进行安装、调试至验收合格。供应商应在合同签订后一周内，向采购人提供安装、调试及试运行的进度计划表。</w:t>
      </w:r>
    </w:p>
    <w:p w14:paraId="30FD667A">
      <w:pPr>
        <w:tabs>
          <w:tab w:val="left" w:pos="840"/>
        </w:tabs>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供应商应在合同规定的安装调试期内完成该项工作,如因供应商责任而造成延期，每超过一天按合同总价款的（1‰）支付采购人误期赔偿金，直至供货或提供服务结束为止，所有因延期而产生的费用由供应商自行承担。</w:t>
      </w:r>
    </w:p>
    <w:p w14:paraId="6207F660">
      <w:pPr>
        <w:tabs>
          <w:tab w:val="left" w:pos="840"/>
        </w:tabs>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4、安装和调试期间所发生的费用均由供应商负责。</w:t>
      </w:r>
    </w:p>
    <w:p w14:paraId="760B6E6F">
      <w:pPr>
        <w:tabs>
          <w:tab w:val="left" w:pos="840"/>
        </w:tabs>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5、供应商应对安装调试、整改等实施过程的安全负责，如发生人身伤亡、财产损失的由供应商负责解决并承担全部责任。</w:t>
      </w:r>
    </w:p>
    <w:p w14:paraId="242580C4">
      <w:pPr>
        <w:spacing w:line="360" w:lineRule="auto"/>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八、技术支持</w:t>
      </w:r>
    </w:p>
    <w:p w14:paraId="42703039">
      <w:pPr>
        <w:tabs>
          <w:tab w:val="left" w:pos="840"/>
        </w:tabs>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提供全年7×24小时的技术咨询服务,供应商怠于或无法提供技术支持的，采购人有权委托第三方处理，由此产生的费用和后果由供应商负责，费用直接从应付款或质保金中扣除。</w:t>
      </w:r>
    </w:p>
    <w:p w14:paraId="49AF369B">
      <w:pPr>
        <w:tabs>
          <w:tab w:val="left" w:pos="840"/>
        </w:tabs>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供应商在项目实施过程中，质量保障人员、资源不足或者执力不足，给项目质量带来的风险超出采购人认定的允许范围时，采购人可终止本项目的合作并进行索赔。</w:t>
      </w:r>
    </w:p>
    <w:p w14:paraId="35DF54B1">
      <w:pPr>
        <w:spacing w:line="360" w:lineRule="auto"/>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九、技术资料要求</w:t>
      </w:r>
    </w:p>
    <w:p w14:paraId="52C49858">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供应商应向采购人提供全套中文技术资料一套，包含但不限于以下内容：</w:t>
      </w:r>
    </w:p>
    <w:p w14:paraId="242CDFE3">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1、完整的产品操作使用手册、说明书和维护、修理技术文件、图纸、保修卡等；</w:t>
      </w:r>
    </w:p>
    <w:p w14:paraId="054FD18A">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2、制造厂的检验、测试报告、产品检验合格证书，质量保证书等文件验收时需提供；</w:t>
      </w:r>
    </w:p>
    <w:p w14:paraId="112216D9">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3、必须的其它技术资料；</w:t>
      </w:r>
    </w:p>
    <w:p w14:paraId="748F9F85">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4、产品验收标准；</w:t>
      </w:r>
    </w:p>
    <w:p w14:paraId="2AFB6D28">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5、技术说明书；</w:t>
      </w:r>
    </w:p>
    <w:p w14:paraId="53AD43D7">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6、零部件目录；</w:t>
      </w:r>
    </w:p>
    <w:p w14:paraId="787C6F3E">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7、项目完工后提供验收报告；</w:t>
      </w:r>
    </w:p>
    <w:p w14:paraId="77662C5C">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8、合同中要求的其他文件资料。</w:t>
      </w:r>
    </w:p>
    <w:p w14:paraId="526FA329">
      <w:pPr>
        <w:tabs>
          <w:tab w:val="left" w:pos="840"/>
        </w:tabs>
        <w:spacing w:line="360" w:lineRule="auto"/>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十、违约责任</w:t>
      </w:r>
    </w:p>
    <w:p w14:paraId="74B59DCD">
      <w:pPr>
        <w:spacing w:line="360" w:lineRule="auto"/>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1. 甲方违约责任</w:t>
      </w:r>
    </w:p>
    <w:p w14:paraId="5119AE7D">
      <w:pPr>
        <w:spacing w:line="360" w:lineRule="auto"/>
        <w:ind w:left="366"/>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(1)甲方无正当理由拒收货物的，甲方应偿付合同总价</w:t>
      </w:r>
      <w:r>
        <w:rPr>
          <w:rFonts w:ascii="仿宋" w:hAnsi="仿宋" w:eastAsia="仿宋" w:cs="仿宋"/>
          <w:color w:val="000000" w:themeColor="text1"/>
          <w:sz w:val="24"/>
          <w:u w:val="single"/>
          <w14:textFill>
            <w14:solidFill>
              <w14:schemeClr w14:val="tx1"/>
            </w14:solidFill>
          </w14:textFill>
        </w:rPr>
        <w:t>3</w:t>
      </w:r>
      <w:r>
        <w:rPr>
          <w:rFonts w:ascii="仿宋" w:hAnsi="仿宋" w:eastAsia="仿宋" w:cs="仿宋"/>
          <w:color w:val="000000" w:themeColor="text1"/>
          <w:sz w:val="24"/>
          <w14:textFill>
            <w14:solidFill>
              <w14:schemeClr w14:val="tx1"/>
            </w14:solidFill>
          </w14:textFill>
        </w:rPr>
        <w:t>%的违约金；</w:t>
      </w:r>
    </w:p>
    <w:p w14:paraId="3AB0BDB8">
      <w:pPr>
        <w:spacing w:line="360" w:lineRule="auto"/>
        <w:ind w:left="2" w:right="2" w:firstLine="364"/>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(2)甲方逾期支付货款的，除应及时付足货款外，应向乙方每天支付欠款总额</w:t>
      </w:r>
      <w:r>
        <w:rPr>
          <w:rFonts w:ascii="仿宋" w:hAnsi="仿宋" w:eastAsia="仿宋" w:cs="仿宋"/>
          <w:color w:val="000000" w:themeColor="text1"/>
          <w:sz w:val="24"/>
          <w:u w:val="single"/>
          <w14:textFill>
            <w14:solidFill>
              <w14:schemeClr w14:val="tx1"/>
            </w14:solidFill>
          </w14:textFill>
        </w:rPr>
        <w:t>3</w:t>
      </w:r>
      <w:r>
        <w:rPr>
          <w:rFonts w:ascii="仿宋" w:hAnsi="仿宋" w:eastAsia="仿宋" w:cs="仿宋"/>
          <w:color w:val="000000" w:themeColor="text1"/>
          <w:sz w:val="24"/>
          <w14:textFill>
            <w14:solidFill>
              <w14:schemeClr w14:val="tx1"/>
            </w14:solidFill>
          </w14:textFill>
        </w:rPr>
        <w:t>‰的滞纳金；但累计滞纳金总额不超过欠款总额的</w:t>
      </w:r>
      <w:r>
        <w:rPr>
          <w:rFonts w:ascii="仿宋" w:hAnsi="仿宋" w:eastAsia="仿宋" w:cs="仿宋"/>
          <w:color w:val="000000" w:themeColor="text1"/>
          <w:sz w:val="24"/>
          <w:u w:val="single"/>
          <w14:textFill>
            <w14:solidFill>
              <w14:schemeClr w14:val="tx1"/>
            </w14:solidFill>
          </w14:textFill>
        </w:rPr>
        <w:t>5</w:t>
      </w:r>
      <w:r>
        <w:rPr>
          <w:rFonts w:ascii="仿宋" w:hAnsi="仿宋" w:eastAsia="仿宋" w:cs="仿宋"/>
          <w:color w:val="000000" w:themeColor="text1"/>
          <w:sz w:val="24"/>
          <w14:textFill>
            <w14:solidFill>
              <w14:schemeClr w14:val="tx1"/>
            </w14:solidFill>
          </w14:textFill>
        </w:rPr>
        <w:t>%。</w:t>
      </w:r>
    </w:p>
    <w:p w14:paraId="07F07DB5">
      <w:pPr>
        <w:spacing w:line="360" w:lineRule="auto"/>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position w:val="1"/>
          <w:sz w:val="24"/>
          <w14:textFill>
            <w14:solidFill>
              <w14:schemeClr w14:val="tx1"/>
            </w14:solidFill>
          </w14:textFill>
        </w:rPr>
        <w:t>2.乙方违约责任</w:t>
      </w:r>
    </w:p>
    <w:p w14:paraId="63136E8F">
      <w:pPr>
        <w:spacing w:line="360" w:lineRule="auto"/>
        <w:ind w:right="36" w:firstLine="426"/>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(1) 如乙方不能交付货物，甲方有权扣留全部履约保证金；同时乙方应向甲方支付合同总价</w:t>
      </w:r>
      <w:r>
        <w:rPr>
          <w:rFonts w:ascii="仿宋" w:hAnsi="仿宋" w:eastAsia="仿宋" w:cs="仿宋"/>
          <w:color w:val="000000" w:themeColor="text1"/>
          <w:sz w:val="24"/>
          <w:u w:val="single"/>
          <w14:textFill>
            <w14:solidFill>
              <w14:schemeClr w14:val="tx1"/>
            </w14:solidFill>
          </w14:textFill>
        </w:rPr>
        <w:t>5</w:t>
      </w:r>
      <w:r>
        <w:rPr>
          <w:rFonts w:ascii="仿宋" w:hAnsi="仿宋" w:eastAsia="仿宋" w:cs="仿宋"/>
          <w:color w:val="000000" w:themeColor="text1"/>
          <w:sz w:val="24"/>
          <w14:textFill>
            <w14:solidFill>
              <w14:schemeClr w14:val="tx1"/>
            </w14:solidFill>
          </w14:textFill>
        </w:rPr>
        <w:t>％的违约金；</w:t>
      </w:r>
    </w:p>
    <w:p w14:paraId="7680E9F7">
      <w:pPr>
        <w:spacing w:line="360" w:lineRule="auto"/>
        <w:ind w:left="4" w:right="2" w:firstLine="421"/>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(2) 乙方逾期交付货物的，每逾期 1 天，乙方向甲方偿付逾期</w:t>
      </w:r>
      <w:r>
        <w:rPr>
          <w:rFonts w:hint="eastAsia" w:ascii="仿宋" w:hAnsi="仿宋" w:eastAsia="仿宋" w:cs="仿宋"/>
          <w:color w:val="000000" w:themeColor="text1"/>
          <w:sz w:val="24"/>
          <w14:textFill>
            <w14:solidFill>
              <w14:schemeClr w14:val="tx1"/>
            </w14:solidFill>
          </w14:textFill>
        </w:rPr>
        <w:t>供货</w:t>
      </w:r>
      <w:r>
        <w:rPr>
          <w:rFonts w:ascii="仿宋" w:hAnsi="仿宋" w:eastAsia="仿宋" w:cs="仿宋"/>
          <w:color w:val="000000" w:themeColor="text1"/>
          <w:sz w:val="24"/>
          <w14:textFill>
            <w14:solidFill>
              <w14:schemeClr w14:val="tx1"/>
            </w14:solidFill>
          </w14:textFill>
        </w:rPr>
        <w:t>部分货款总额的</w:t>
      </w:r>
      <w:r>
        <w:rPr>
          <w:rFonts w:ascii="仿宋" w:hAnsi="仿宋" w:eastAsia="仿宋" w:cs="仿宋"/>
          <w:color w:val="000000" w:themeColor="text1"/>
          <w:sz w:val="24"/>
          <w:u w:val="single"/>
          <w14:textFill>
            <w14:solidFill>
              <w14:schemeClr w14:val="tx1"/>
            </w14:solidFill>
          </w14:textFill>
        </w:rPr>
        <w:t>5</w:t>
      </w:r>
      <w:r>
        <w:rPr>
          <w:rFonts w:ascii="仿宋" w:hAnsi="仿宋" w:eastAsia="仿宋" w:cs="仿宋"/>
          <w:color w:val="000000" w:themeColor="text1"/>
          <w:sz w:val="24"/>
          <w14:textFill>
            <w14:solidFill>
              <w14:schemeClr w14:val="tx1"/>
            </w14:solidFill>
          </w14:textFill>
        </w:rPr>
        <w:t>‰的滞 纳金。如乙方逾期</w:t>
      </w:r>
      <w:r>
        <w:rPr>
          <w:rFonts w:hint="eastAsia" w:ascii="仿宋" w:hAnsi="仿宋" w:eastAsia="仿宋" w:cs="仿宋"/>
          <w:color w:val="000000" w:themeColor="text1"/>
          <w:sz w:val="24"/>
          <w14:textFill>
            <w14:solidFill>
              <w14:schemeClr w14:val="tx1"/>
            </w14:solidFill>
          </w14:textFill>
        </w:rPr>
        <w:t>供货</w:t>
      </w:r>
      <w:r>
        <w:rPr>
          <w:rFonts w:ascii="仿宋" w:hAnsi="仿宋" w:eastAsia="仿宋" w:cs="仿宋"/>
          <w:color w:val="000000" w:themeColor="text1"/>
          <w:sz w:val="24"/>
          <w14:textFill>
            <w14:solidFill>
              <w14:schemeClr w14:val="tx1"/>
            </w14:solidFill>
          </w14:textFill>
        </w:rPr>
        <w:t>达</w:t>
      </w:r>
      <w:r>
        <w:rPr>
          <w:rFonts w:ascii="仿宋" w:hAnsi="仿宋" w:eastAsia="仿宋" w:cs="仿宋"/>
          <w:color w:val="000000" w:themeColor="text1"/>
          <w:sz w:val="24"/>
          <w:u w:val="single"/>
          <w14:textFill>
            <w14:solidFill>
              <w14:schemeClr w14:val="tx1"/>
            </w14:solidFill>
          </w14:textFill>
        </w:rPr>
        <w:t>10</w:t>
      </w:r>
      <w:r>
        <w:rPr>
          <w:rFonts w:ascii="仿宋" w:hAnsi="仿宋" w:eastAsia="仿宋" w:cs="仿宋"/>
          <w:color w:val="000000" w:themeColor="text1"/>
          <w:sz w:val="24"/>
          <w14:textFill>
            <w14:solidFill>
              <w14:schemeClr w14:val="tx1"/>
            </w14:solidFill>
          </w14:textFill>
        </w:rPr>
        <w:t>天甲方有权解除合同，解除合同的通知自到达乙方时生效；</w:t>
      </w:r>
    </w:p>
    <w:p w14:paraId="39DAED62">
      <w:pPr>
        <w:spacing w:line="360" w:lineRule="auto"/>
        <w:ind w:left="17" w:right="84" w:firstLine="409"/>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(3)乙方所交付的货物品种、型号、规格不符合合同规定的，甲方有权拒收。甲方拒收的，乙方应向甲方支付货款总额</w:t>
      </w:r>
      <w:r>
        <w:rPr>
          <w:rFonts w:ascii="仿宋" w:hAnsi="仿宋" w:eastAsia="仿宋" w:cs="仿宋"/>
          <w:color w:val="000000" w:themeColor="text1"/>
          <w:sz w:val="24"/>
          <w:u w:val="single"/>
          <w14:textFill>
            <w14:solidFill>
              <w14:schemeClr w14:val="tx1"/>
            </w14:solidFill>
          </w14:textFill>
        </w:rPr>
        <w:t>0.5</w:t>
      </w:r>
      <w:r>
        <w:rPr>
          <w:rFonts w:ascii="仿宋" w:hAnsi="仿宋" w:eastAsia="仿宋" w:cs="仿宋"/>
          <w:color w:val="000000" w:themeColor="text1"/>
          <w:sz w:val="24"/>
          <w14:textFill>
            <w14:solidFill>
              <w14:schemeClr w14:val="tx1"/>
            </w14:solidFill>
          </w14:textFill>
        </w:rPr>
        <w:t>%的违约金；</w:t>
      </w:r>
    </w:p>
    <w:p w14:paraId="470CD1A5">
      <w:pPr>
        <w:spacing w:line="360" w:lineRule="auto"/>
        <w:ind w:left="17" w:right="84" w:firstLine="409"/>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(4)乙方货物经甲方送交具有法定资格条件的质量技术监督机构检测后，如检测结果认定货 物质量不符合本合同规定标准的，则视为乙方没有按时</w:t>
      </w:r>
      <w:r>
        <w:rPr>
          <w:rFonts w:hint="eastAsia" w:ascii="仿宋" w:hAnsi="仿宋" w:eastAsia="仿宋" w:cs="仿宋"/>
          <w:color w:val="000000" w:themeColor="text1"/>
          <w:sz w:val="24"/>
          <w14:textFill>
            <w14:solidFill>
              <w14:schemeClr w14:val="tx1"/>
            </w14:solidFill>
          </w14:textFill>
        </w:rPr>
        <w:t>供货</w:t>
      </w:r>
      <w:r>
        <w:rPr>
          <w:rFonts w:ascii="仿宋" w:hAnsi="仿宋" w:eastAsia="仿宋" w:cs="仿宋"/>
          <w:color w:val="000000" w:themeColor="text1"/>
          <w:sz w:val="24"/>
          <w14:textFill>
            <w14:solidFill>
              <w14:schemeClr w14:val="tx1"/>
            </w14:solidFill>
          </w14:textFill>
        </w:rPr>
        <w:t>而违约，乙方须在</w:t>
      </w:r>
      <w:r>
        <w:rPr>
          <w:rFonts w:ascii="仿宋" w:hAnsi="仿宋" w:eastAsia="仿宋" w:cs="仿宋"/>
          <w:color w:val="000000" w:themeColor="text1"/>
          <w:sz w:val="24"/>
          <w:u w:val="single"/>
          <w14:textFill>
            <w14:solidFill>
              <w14:schemeClr w14:val="tx1"/>
            </w14:solidFill>
          </w14:textFill>
        </w:rPr>
        <w:t>10</w:t>
      </w:r>
      <w:r>
        <w:rPr>
          <w:rFonts w:ascii="仿宋" w:hAnsi="仿宋" w:eastAsia="仿宋" w:cs="仿宋"/>
          <w:color w:val="000000" w:themeColor="text1"/>
          <w:sz w:val="24"/>
          <w14:textFill>
            <w14:solidFill>
              <w14:schemeClr w14:val="tx1"/>
            </w14:solidFill>
          </w14:textFill>
        </w:rPr>
        <w:t xml:space="preserve">天内无条件更 换合格的货物，如逾期不能更换合格的货物，甲方有权终止本合同，乙方应另向甲方支付货款总额的 </w:t>
      </w:r>
      <w:r>
        <w:rPr>
          <w:rFonts w:ascii="仿宋" w:hAnsi="仿宋" w:eastAsia="仿宋" w:cs="仿宋"/>
          <w:color w:val="000000" w:themeColor="text1"/>
          <w:sz w:val="24"/>
          <w:u w:val="single"/>
          <w14:textFill>
            <w14:solidFill>
              <w14:schemeClr w14:val="tx1"/>
            </w14:solidFill>
          </w14:textFill>
        </w:rPr>
        <w:t>0.5</w:t>
      </w:r>
      <w:r>
        <w:rPr>
          <w:rFonts w:ascii="仿宋" w:hAnsi="仿宋" w:eastAsia="仿宋" w:cs="仿宋"/>
          <w:color w:val="000000" w:themeColor="text1"/>
          <w:sz w:val="24"/>
          <w14:textFill>
            <w14:solidFill>
              <w14:schemeClr w14:val="tx1"/>
            </w14:solidFill>
          </w14:textFill>
        </w:rPr>
        <w:t>%的违约金；</w:t>
      </w:r>
    </w:p>
    <w:p w14:paraId="52F2CF6A">
      <w:pPr>
        <w:spacing w:line="360" w:lineRule="auto"/>
        <w:ind w:left="5" w:right="37" w:firstLine="423"/>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(5) 在乙方承诺的或国家规定的质量保证期内(取两者中最长的期限)，如经乙方两次维修 或更换，货物仍不能达到合同约定的质量标准，甲方有权退货，乙方应退回全部货款，并按第 3 款 处理， 同时，乙方还须赔偿甲方因此遭受的损失；</w:t>
      </w:r>
    </w:p>
    <w:p w14:paraId="7732259F">
      <w:pPr>
        <w:spacing w:line="360" w:lineRule="auto"/>
        <w:ind w:left="31" w:right="38" w:firstLine="397"/>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(6) 乙方未按本合同第十条的规定向甲方交付履约保证金的，应按应交付履约保证金的</w:t>
      </w:r>
      <w:r>
        <w:rPr>
          <w:rFonts w:ascii="仿宋" w:hAnsi="仿宋" w:eastAsia="仿宋" w:cs="仿宋"/>
          <w:color w:val="000000" w:themeColor="text1"/>
          <w:sz w:val="24"/>
          <w:u w:val="single"/>
          <w14:textFill>
            <w14:solidFill>
              <w14:schemeClr w14:val="tx1"/>
            </w14:solidFill>
          </w14:textFill>
        </w:rPr>
        <w:t xml:space="preserve"> 0.3 </w:t>
      </w:r>
      <w:r>
        <w:rPr>
          <w:rFonts w:ascii="仿宋" w:hAnsi="仿宋" w:eastAsia="仿宋" w:cs="仿宋"/>
          <w:color w:val="000000" w:themeColor="text1"/>
          <w:sz w:val="24"/>
          <w14:textFill>
            <w14:solidFill>
              <w14:schemeClr w14:val="tx1"/>
            </w14:solidFill>
          </w14:textFill>
        </w:rPr>
        <w:t>% 向甲方支付违约金，该违约金的支付不影响乙方应承担的其他违约责任；</w:t>
      </w:r>
    </w:p>
    <w:p w14:paraId="63819AC2">
      <w:pPr>
        <w:spacing w:line="360" w:lineRule="auto"/>
        <w:ind w:right="39" w:firstLine="429"/>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 xml:space="preserve">(7)乙方未按本合同的规定和“服务承诺”提供伴随服务/售后服务的，应按合同总价款的 </w:t>
      </w:r>
      <w:r>
        <w:rPr>
          <w:rFonts w:ascii="仿宋" w:hAnsi="仿宋" w:eastAsia="仿宋" w:cs="仿宋"/>
          <w:color w:val="000000" w:themeColor="text1"/>
          <w:sz w:val="24"/>
          <w:u w:val="single"/>
          <w14:textFill>
            <w14:solidFill>
              <w14:schemeClr w14:val="tx1"/>
            </w14:solidFill>
          </w14:textFill>
        </w:rPr>
        <w:t xml:space="preserve">0.3 </w:t>
      </w:r>
      <w:r>
        <w:rPr>
          <w:rFonts w:ascii="仿宋" w:hAnsi="仿宋" w:eastAsia="仿宋" w:cs="仿宋"/>
          <w:color w:val="000000" w:themeColor="text1"/>
          <w:sz w:val="24"/>
          <w14:textFill>
            <w14:solidFill>
              <w14:schemeClr w14:val="tx1"/>
            </w14:solidFill>
          </w14:textFill>
        </w:rPr>
        <w:t>%向甲方承担违约责任；</w:t>
      </w:r>
    </w:p>
    <w:p w14:paraId="4921F62C">
      <w:pPr>
        <w:spacing w:line="360" w:lineRule="auto"/>
        <w:ind w:left="5" w:right="37" w:firstLine="423"/>
        <w:rPr>
          <w:rFonts w:ascii="仿宋" w:hAnsi="仿宋" w:eastAsia="仿宋" w:cs="仿宋"/>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(8)乙方在承担上述 1-7款一项或多项违约责任后，仍应继续履行合同规定的义务 (甲方解除合同的除外)。甲方未能及时追究乙方的任何一项违约责任并不表明甲方放弃追究乙方该项或其 他违约责任；</w:t>
      </w:r>
    </w:p>
    <w:p w14:paraId="5A1DAD09">
      <w:pPr>
        <w:spacing w:line="360" w:lineRule="auto"/>
        <w:ind w:left="4" w:right="40" w:firstLine="424"/>
        <w:rPr>
          <w:color w:val="000000" w:themeColor="text1"/>
          <w:sz w:val="24"/>
          <w14:textFill>
            <w14:solidFill>
              <w14:schemeClr w14:val="tx1"/>
            </w14:solidFill>
          </w14:textFill>
        </w:rPr>
      </w:pPr>
      <w:r>
        <w:rPr>
          <w:rFonts w:ascii="仿宋" w:hAnsi="仿宋" w:eastAsia="仿宋" w:cs="仿宋"/>
          <w:color w:val="000000" w:themeColor="text1"/>
          <w:sz w:val="24"/>
          <w14:textFill>
            <w14:solidFill>
              <w14:schemeClr w14:val="tx1"/>
            </w14:solidFill>
          </w14:textFill>
        </w:rPr>
        <w:t>(9)乙方偿付的违约金不足以弥补甲方损失的，还应按甲方损失尚未弥补的部分，支付赔偿 金给甲方。</w:t>
      </w:r>
    </w:p>
    <w:p w14:paraId="394C7396">
      <w:pPr>
        <w:spacing w:line="360" w:lineRule="auto"/>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十一、 合同的变更和终止</w:t>
      </w:r>
    </w:p>
    <w:p w14:paraId="2F968980">
      <w:pPr>
        <w:spacing w:line="360" w:lineRule="auto"/>
        <w:ind w:firstLine="480" w:firstLineChars="200"/>
        <w:rPr>
          <w:rFonts w:ascii="仿宋" w:hAnsi="仿宋" w:eastAsia="仿宋" w:cs="仿宋"/>
          <w:bCs/>
          <w:color w:val="000000" w:themeColor="text1"/>
          <w:sz w:val="24"/>
          <w14:textFill>
            <w14:solidFill>
              <w14:schemeClr w14:val="tx1"/>
            </w14:solidFill>
          </w14:textFill>
        </w:rPr>
      </w:pPr>
      <w:r>
        <w:rPr>
          <w:rFonts w:hint="eastAsia" w:ascii="仿宋" w:hAnsi="仿宋" w:eastAsia="仿宋" w:cs="仿宋"/>
          <w:bCs/>
          <w:color w:val="000000" w:themeColor="text1"/>
          <w:sz w:val="24"/>
          <w14:textFill>
            <w14:solidFill>
              <w14:schemeClr w14:val="tx1"/>
            </w14:solidFill>
          </w14:textFill>
        </w:rPr>
        <w:t>除《中华人民共和国政府采购法》第 49 条、第 50 条第二款规定的情形外，本合同一经签订， 甲乙双方不得擅自变更、 中止或终止合同。</w:t>
      </w:r>
    </w:p>
    <w:p w14:paraId="22BCEAA3">
      <w:pPr>
        <w:spacing w:line="360" w:lineRule="auto"/>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十二、争议解决方法</w:t>
      </w:r>
    </w:p>
    <w:p w14:paraId="15E978E1">
      <w:pPr>
        <w:tabs>
          <w:tab w:val="left" w:pos="840"/>
        </w:tabs>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1.因货物的质量问题发生争议， 由质量技术监督部门或其指定的质量鉴定机构进行质量鉴定。 货物符合标准的，鉴定费由甲方承担；货物不符合质量标准的，鉴定费由乙方承担。</w:t>
      </w:r>
    </w:p>
    <w:p w14:paraId="23798357">
      <w:pPr>
        <w:tabs>
          <w:tab w:val="left" w:pos="840"/>
        </w:tabs>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2.因履行本合同引起的或与本合同有关的争议，甲、乙双方应首先通过友好协商解决，如果协商不成，则采取以下第 (1) 种方式解决争议：</w:t>
      </w:r>
    </w:p>
    <w:p w14:paraId="08CA6D81">
      <w:pPr>
        <w:tabs>
          <w:tab w:val="left" w:pos="840"/>
        </w:tabs>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 向甲方所在地有管辖权的人民法院提起诉讼；</w:t>
      </w:r>
    </w:p>
    <w:p w14:paraId="70655A94">
      <w:pPr>
        <w:tabs>
          <w:tab w:val="left" w:pos="840"/>
        </w:tabs>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 向</w:t>
      </w:r>
      <w:r>
        <w:rPr>
          <w:rFonts w:hint="eastAsia" w:ascii="仿宋" w:hAnsi="仿宋" w:eastAsia="仿宋" w:cs="仿宋"/>
          <w:color w:val="000000" w:themeColor="text1"/>
          <w:sz w:val="24"/>
          <w:u w:val="single"/>
          <w14:textFill>
            <w14:solidFill>
              <w14:schemeClr w14:val="tx1"/>
            </w14:solidFill>
          </w14:textFill>
        </w:rPr>
        <w:t>____________</w:t>
      </w:r>
      <w:r>
        <w:rPr>
          <w:rFonts w:hint="eastAsia" w:ascii="仿宋" w:hAnsi="仿宋" w:eastAsia="仿宋" w:cs="仿宋"/>
          <w:color w:val="000000" w:themeColor="text1"/>
          <w:sz w:val="24"/>
          <w14:textFill>
            <w14:solidFill>
              <w14:schemeClr w14:val="tx1"/>
            </w14:solidFill>
          </w14:textFill>
        </w:rPr>
        <w:t>仲裁委员会按其仲裁规则申请仲裁。</w:t>
      </w:r>
    </w:p>
    <w:p w14:paraId="4F5F1876">
      <w:pPr>
        <w:tabs>
          <w:tab w:val="left" w:pos="840"/>
        </w:tabs>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 3.在仲裁期间，本合同应继续履行。</w:t>
      </w:r>
    </w:p>
    <w:p w14:paraId="6715C0A9">
      <w:pPr>
        <w:spacing w:line="360" w:lineRule="auto"/>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十三、其他</w:t>
      </w:r>
    </w:p>
    <w:p w14:paraId="3D077BAF">
      <w:pPr>
        <w:pStyle w:val="7"/>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技术要求中未</w:t>
      </w:r>
      <w:r>
        <w:rPr>
          <w:rFonts w:ascii="仿宋" w:hAnsi="仿宋" w:eastAsia="仿宋" w:cs="仿宋"/>
          <w:color w:val="000000" w:themeColor="text1"/>
          <w:sz w:val="24"/>
          <w:szCs w:val="24"/>
          <w14:textFill>
            <w14:solidFill>
              <w14:schemeClr w14:val="tx1"/>
            </w14:solidFill>
          </w14:textFill>
        </w:rPr>
        <w:t xml:space="preserve">明确颜色的设备项目，以与学校或幼儿园装修风格相匹配为准（实际供货前由双方协商一致书面确定）；厨具设备必须使用食品级别的材料（如有）。 </w:t>
      </w:r>
    </w:p>
    <w:p w14:paraId="574F50DF">
      <w:pPr>
        <w:pStyle w:val="7"/>
        <w:spacing w:line="360" w:lineRule="auto"/>
        <w:ind w:firstLine="480" w:firstLineChars="200"/>
        <w:rPr>
          <w:rFonts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w:t>
      </w:r>
      <w:r>
        <w:rPr>
          <w:rFonts w:ascii="仿宋" w:hAnsi="仿宋" w:eastAsia="仿宋" w:cs="仿宋"/>
          <w:color w:val="000000" w:themeColor="text1"/>
          <w:sz w:val="24"/>
          <w:szCs w:val="24"/>
          <w14:textFill>
            <w14:solidFill>
              <w14:schemeClr w14:val="tx1"/>
            </w14:solidFill>
          </w14:textFill>
        </w:rPr>
        <w:t>中标单位不得转包、分包，一经发现将中标单位列入不诚信名单。</w:t>
      </w:r>
    </w:p>
    <w:p w14:paraId="1DA8DBC4">
      <w:pPr>
        <w:spacing w:line="360" w:lineRule="auto"/>
        <w:ind w:firstLine="480" w:firstLineChars="200"/>
        <w:rPr>
          <w:rFonts w:eastAsia="仿宋"/>
          <w:color w:val="000000" w:themeColor="text1"/>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3、如有未尽事宜，由双方依法订立补充合同。</w:t>
      </w:r>
    </w:p>
    <w:p w14:paraId="34C1196C">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4、本合同一式伍份，自双方签章之日起生效。甲方贰份，乙方贰份，政府采购监督管理部门备案一份。（正文完）</w:t>
      </w:r>
    </w:p>
    <w:p w14:paraId="646A8C59">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甲    方：（盖章）                     乙    方：（盖章）</w:t>
      </w:r>
    </w:p>
    <w:p w14:paraId="5CE5AEC2">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法定代表人（授权代表）：               法定代表人（授权代表）：</w:t>
      </w:r>
    </w:p>
    <w:p w14:paraId="60E00813">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地    址：                             地    址： </w:t>
      </w:r>
    </w:p>
    <w:p w14:paraId="2847161E">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开户银行：                             开户银行： </w:t>
      </w:r>
    </w:p>
    <w:p w14:paraId="30C6C631">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账    号：                             账    号：</w:t>
      </w:r>
    </w:p>
    <w:p w14:paraId="0DCCB289">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电    话：                             电    话：</w:t>
      </w:r>
    </w:p>
    <w:p w14:paraId="19937C39">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传    真：                             传    真：</w:t>
      </w:r>
    </w:p>
    <w:p w14:paraId="1307DDB0">
      <w:pPr>
        <w:spacing w:line="360" w:lineRule="auto"/>
        <w:ind w:firstLine="480" w:firstLineChars="200"/>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签约日期：     年    月    日          签约日期：     年     月    日</w:t>
      </w:r>
    </w:p>
    <w:p w14:paraId="193BE958">
      <w:pPr>
        <w:rPr>
          <w:rFonts w:ascii="宋体" w:hAnsi="宋体" w:eastAsia="宋体" w:cs="宋体"/>
          <w:color w:val="000000" w:themeColor="text1"/>
          <w14:textFill>
            <w14:solidFill>
              <w14:schemeClr w14:val="tx1"/>
            </w14:solidFill>
          </w14:textFill>
        </w:rPr>
      </w:pPr>
      <w:r>
        <w:rPr>
          <w:rFonts w:hint="eastAsia" w:ascii="仿宋" w:hAnsi="仿宋" w:eastAsia="仿宋" w:cs="仿宋"/>
          <w:color w:val="000000" w:themeColor="text1"/>
          <w:kern w:val="0"/>
          <w:sz w:val="24"/>
          <w14:textFill>
            <w14:solidFill>
              <w14:schemeClr w14:val="tx1"/>
            </w14:solidFill>
          </w14:textFill>
        </w:rPr>
        <w:t>注：本合同模板仅为合同的参考文本，合同签订双方可根据项目的具体要求进行修改。</w:t>
      </w:r>
    </w:p>
    <w:p w14:paraId="62129E94"/>
    <w:sectPr>
      <w:footerReference r:id="rId3" w:type="default"/>
      <w:pgSz w:w="11906" w:h="16838"/>
      <w:pgMar w:top="1417" w:right="1417" w:bottom="1417" w:left="1417"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DA017">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DBAF6C">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4DBAF6C">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DD1988"/>
    <w:multiLevelType w:val="singleLevel"/>
    <w:tmpl w:val="79DD198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9D7BAD"/>
    <w:rsid w:val="4F9D7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0"/>
    <w:rPr>
      <w:rFonts w:ascii="Times New Roman"/>
    </w:rPr>
  </w:style>
  <w:style w:type="paragraph" w:styleId="5">
    <w:name w:val="Body Text Indent"/>
    <w:basedOn w:val="1"/>
    <w:next w:val="1"/>
    <w:qFormat/>
    <w:uiPriority w:val="0"/>
    <w:pPr>
      <w:ind w:firstLine="480"/>
    </w:pPr>
    <w:rPr>
      <w:rFonts w:ascii="宋体" w:hAnsi="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4"/>
    <w:next w:val="8"/>
    <w:qFormat/>
    <w:uiPriority w:val="0"/>
    <w:pPr>
      <w:ind w:firstLine="420" w:firstLineChars="100"/>
    </w:pPr>
    <w:rPr>
      <w:rFonts w:ascii="宋体"/>
      <w:sz w:val="34"/>
      <w:szCs w:val="20"/>
    </w:rPr>
  </w:style>
  <w:style w:type="paragraph" w:styleId="8">
    <w:name w:val="Body Text First Indent 2"/>
    <w:basedOn w:val="5"/>
    <w:next w:val="1"/>
    <w:qFormat/>
    <w:uiPriority w:val="0"/>
    <w:pPr>
      <w:spacing w:line="400" w:lineRule="atLeast"/>
      <w:ind w:left="210" w:firstLine="420" w:firstLineChars="200"/>
    </w:pPr>
    <w:rPr>
      <w:rFonts w:ascii="Times New Roman" w:hAnsi="Times New Roman" w:eastAsia="宋体" w:cs="Times New Roman"/>
      <w:sz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2025-02-06T08:39:00Z</dcterms:created>
  <dc:creator>doit</dc:creator>
  <cp:lastModifiedBy>doit</cp:lastModifiedBy>
  <dcterms:modified xsi:type="dcterms:W3CDTF">2025-02-06T08:40:18Z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18CBDCFE092540B8AFE12801871DCDAE_11</vt:lpwstr>
  </property>
  <property fmtid="{D5CDD505-2E9C-101B-9397-08002B2CF9AE}" pid="4" name="KSOTemplateDocerSaveRecord">
    <vt:lpwstr>eyJoZGlkIjoiYjEwMTkxMmYxYmVmYTQ3ZWUzZjYxZWJiYWIwYWQyNzIiLCJ1c2VySWQiOiI1NDQyNTk1OTUifQ==</vt:lpwstr>
  </property>
</Properties>
</file>