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版本号：HHGJZC2025-CS27420250206001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教学设备采购项目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HHGJZC2025-CS274</w:t>
      </w:r>
      <w:r>
        <w:br/>
      </w:r>
      <w:r>
        <w:br/>
      </w:r>
      <w:r>
        <w:br/>
      </w:r>
    </w:p>
    <w:p>
      <w:pPr>
        <w:pStyle w:val="null3"/>
        <w:jc w:val="center"/>
        <w:outlineLvl w:val="2"/>
      </w:pPr>
      <w:r>
        <w:rPr>
          <w:rFonts w:ascii="仿宋_GB2312" w:hAnsi="仿宋_GB2312" w:cs="仿宋_GB2312" w:eastAsia="仿宋_GB2312"/>
          <w:sz w:val="28"/>
          <w:b/>
        </w:rPr>
        <w:t>西安市未央区教育局</w:t>
      </w:r>
    </w:p>
    <w:p>
      <w:pPr>
        <w:pStyle w:val="null3"/>
        <w:jc w:val="center"/>
        <w:outlineLvl w:val="2"/>
      </w:pPr>
      <w:r>
        <w:rPr>
          <w:rFonts w:ascii="仿宋_GB2312" w:hAnsi="仿宋_GB2312" w:cs="仿宋_GB2312" w:eastAsia="仿宋_GB2312"/>
          <w:sz w:val="28"/>
          <w:b/>
        </w:rPr>
        <w:t>陕西华海国际项目管理有限公司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2025年02月06日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陕西华海国际项目管理有限公司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西安市未央区教育局</w:t>
      </w:r>
      <w:r>
        <w:rPr>
          <w:rFonts w:ascii="仿宋_GB2312" w:hAnsi="仿宋_GB2312" w:cs="仿宋_GB2312" w:eastAsia="仿宋_GB2312"/>
        </w:rPr>
        <w:t>委托，拟对</w:t>
      </w:r>
      <w:r>
        <w:rPr>
          <w:rFonts w:ascii="仿宋_GB2312" w:hAnsi="仿宋_GB2312" w:cs="仿宋_GB2312" w:eastAsia="仿宋_GB2312"/>
        </w:rPr>
        <w:t>教学设备采购项目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HHGJZC2025-CS274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教学设备采购项目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教学设备采购项目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法定代表人授权书：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pPr>
        <w:pStyle w:val="null3"/>
      </w:pPr>
      <w:r>
        <w:rPr>
          <w:rFonts w:ascii="仿宋_GB2312" w:hAnsi="仿宋_GB2312" w:cs="仿宋_GB2312" w:eastAsia="仿宋_GB2312"/>
        </w:rPr>
        <w:t>2、信用记录：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西安市未央区教育局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陕西省西安市未央区汇文南路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石老师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029-86239786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陕西华海国际项目管理有限公司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西安市经开区明光路凤城五路FED创新中心B座312室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吕博延</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029-89164609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西安市未央区财政局政府采购管理科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029-86276259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采购包1：853,700.00元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参照国家计委印发的《招标代理服务收费管理暂行办法》（计价格〔2002〕1980号）和国家发展和改革委员会办公厅印发的《关于招标代理服务收费有关问题的通知》（发改办价格〔2003〕857号）的有关规定执行。 成交供应商在领取成交通知书前，须向采购代理机构一次性支付招标代理服务费。 户名：陕西华海国际项目管理有限公司 开户行：中信银行股份有限公司西安分行营业部 账号：8111701013100567082</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西安市未央区教育局</w:t>
      </w:r>
      <w:r>
        <w:rPr>
          <w:rFonts w:ascii="仿宋_GB2312" w:hAnsi="仿宋_GB2312" w:cs="仿宋_GB2312" w:eastAsia="仿宋_GB2312"/>
        </w:rPr>
        <w:t>和</w:t>
      </w:r>
      <w:r>
        <w:rPr>
          <w:rFonts w:ascii="仿宋_GB2312" w:hAnsi="仿宋_GB2312" w:cs="仿宋_GB2312" w:eastAsia="仿宋_GB2312"/>
        </w:rPr>
        <w:t>陕西华海国际项目管理有限公司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西安市未央区教育局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陕西华海国际项目管理有限公司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陕西华海国际项目管理有限公司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按磋商文件和合同约定执行。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陕西华海国际项目管理有限公司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陕西华海国际项目管理有限公司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陕西华海国际项目管理有限公司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联系人：吕博延</w:t>
      </w:r>
    </w:p>
    <w:p>
      <w:pPr>
        <w:pStyle w:val="null3"/>
      </w:pPr>
      <w:r>
        <w:rPr>
          <w:rFonts w:ascii="仿宋_GB2312" w:hAnsi="仿宋_GB2312" w:cs="仿宋_GB2312" w:eastAsia="仿宋_GB2312"/>
        </w:rPr>
        <w:t>联系电话：029-89164609</w:t>
      </w:r>
    </w:p>
    <w:p>
      <w:pPr>
        <w:pStyle w:val="null3"/>
      </w:pPr>
      <w:r>
        <w:rPr>
          <w:rFonts w:ascii="仿宋_GB2312" w:hAnsi="仿宋_GB2312" w:cs="仿宋_GB2312" w:eastAsia="仿宋_GB2312"/>
        </w:rPr>
        <w:t>地址：西安市经开区明光路凤城五路FED创新中心B座312室</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18"/>
          <w:color w:val="000000"/>
          <w:shd w:fill="FFFFFF" w:val="clear"/>
        </w:rPr>
        <w:t>教学设备采购项目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853,700.00</w:t>
      </w:r>
    </w:p>
    <w:p>
      <w:pPr>
        <w:pStyle w:val="null3"/>
      </w:pPr>
      <w:r>
        <w:rPr>
          <w:rFonts w:ascii="仿宋_GB2312" w:hAnsi="仿宋_GB2312" w:cs="仿宋_GB2312" w:eastAsia="仿宋_GB2312"/>
        </w:rPr>
        <w:t>采购包最高限价（元）: 853,700.00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教学设备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853,700.00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标的名称：教学设备</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带“▲”号条款为允许负偏离的参数需求，若未响应或者不满足，将在综合评审中予以扣分处理。</w:t>
            </w:r>
          </w:p>
        </w:tc>
        <w:tc>
          <w:tcPr>
            <w:tcW w:type="dxa" w:w="2076"/>
          </w:tcPr>
          <w:tbl>
            <w:tblPr>
              <w:tblBorders>
                <w:top w:val="none" w:color="000000" w:sz="4"/>
                <w:left w:val="none" w:color="000000" w:sz="4"/>
                <w:bottom w:val="none" w:color="000000" w:sz="4"/>
                <w:right w:val="none" w:color="000000" w:sz="4"/>
                <w:insideH w:val="none"/>
                <w:insideV w:val="none"/>
              </w:tblBorders>
            </w:tblPr>
            <w:tblGrid>
              <w:gridCol w:w="88"/>
              <w:gridCol w:w="149"/>
              <w:gridCol w:w="123"/>
              <w:gridCol w:w="99"/>
              <w:gridCol w:w="196"/>
              <w:gridCol w:w="1105"/>
              <w:gridCol w:w="99"/>
            </w:tblGrid>
            <w:tr>
              <w:tc>
                <w:tcPr>
                  <w:tcW w:type="dxa" w:w="88"/>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b/>
                      <w:color w:val="000000"/>
                    </w:rPr>
                    <w:t>序号</w:t>
                  </w:r>
                </w:p>
              </w:tc>
              <w:tc>
                <w:tcPr>
                  <w:tcW w:type="dxa" w:w="149"/>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b/>
                      <w:color w:val="000000"/>
                    </w:rPr>
                    <w:t>名称</w:t>
                  </w:r>
                </w:p>
              </w:tc>
              <w:tc>
                <w:tcPr>
                  <w:tcW w:type="dxa" w:w="123"/>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b/>
                      <w:color w:val="000000"/>
                    </w:rPr>
                    <w:t>数量</w:t>
                  </w:r>
                </w:p>
              </w:tc>
              <w:tc>
                <w:tcPr>
                  <w:tcW w:type="dxa" w:w="99"/>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b/>
                      <w:color w:val="000000"/>
                    </w:rPr>
                    <w:t>单位</w:t>
                  </w:r>
                </w:p>
              </w:tc>
              <w:tc>
                <w:tcPr>
                  <w:tcW w:type="dxa" w:w="1301"/>
                  <w:gridSpan w:val="2"/>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b/>
                      <w:color w:val="000000"/>
                    </w:rPr>
                    <w:t>技术参数与性能指标</w:t>
                  </w:r>
                </w:p>
              </w:tc>
              <w:tc>
                <w:tcPr>
                  <w:tcW w:type="dxa" w:w="99"/>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18"/>
                      <w:b/>
                      <w:color w:val="000000"/>
                    </w:rPr>
                    <w:t>行业</w:t>
                  </w:r>
                </w:p>
              </w:tc>
            </w:tr>
            <w:tr>
              <w:tc>
                <w:tcPr>
                  <w:tcW w:type="dxa" w:w="88"/>
                  <w:vMerge w:val="restart"/>
                  <w:tcBorders>
                    <w:top w:val="none" w:color="000000" w:sz="4"/>
                    <w:left w:val="single" w:color="000000" w:sz="4"/>
                    <w:bottom w:val="outset"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color w:val="000000"/>
                    </w:rPr>
                    <w:t>1</w:t>
                  </w:r>
                </w:p>
              </w:tc>
              <w:tc>
                <w:tcPr>
                  <w:tcW w:type="dxa" w:w="1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color w:val="000000"/>
                    </w:rPr>
                    <w:t>智慧黑板</w:t>
                  </w:r>
                </w:p>
                <w:p>
                  <w:pPr>
                    <w:pStyle w:val="null3"/>
                    <w:jc w:val="center"/>
                  </w:pPr>
                  <w:r>
                    <w:rPr>
                      <w:rFonts w:ascii="仿宋_GB2312" w:hAnsi="仿宋_GB2312" w:cs="仿宋_GB2312" w:eastAsia="仿宋_GB2312"/>
                      <w:sz w:val="20"/>
                      <w:color w:val="000000"/>
                    </w:rPr>
                    <w:t>（核心产品）</w:t>
                  </w:r>
                </w:p>
              </w:tc>
              <w:tc>
                <w:tcPr>
                  <w:tcW w:type="dxa" w:w="123"/>
                  <w:vMerge w:val="restart"/>
                  <w:tcBorders>
                    <w:top w:val="none" w:color="000000" w:sz="4"/>
                    <w:left w:val="none" w:color="000000" w:sz="4"/>
                    <w:bottom w:val="outset"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color w:val="000000"/>
                    </w:rPr>
                    <w:t>25</w:t>
                  </w:r>
                </w:p>
              </w:tc>
              <w:tc>
                <w:tcPr>
                  <w:tcW w:type="dxa" w:w="99"/>
                  <w:vMerge w:val="restart"/>
                  <w:tcBorders>
                    <w:top w:val="none" w:color="000000" w:sz="4"/>
                    <w:left w:val="none" w:color="000000" w:sz="4"/>
                    <w:bottom w:val="outset"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color w:val="000000"/>
                    </w:rPr>
                    <w:t>套</w:t>
                  </w:r>
                </w:p>
              </w:tc>
              <w:tc>
                <w:tcPr>
                  <w:tcW w:type="dxa" w:w="1301"/>
                  <w:gridSpan w:val="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0"/>
                      <w:color w:val="000000"/>
                    </w:rPr>
                    <w:t>1、交互黑板整机采用一体化结构设计,交互黑板长度≥4200mm，高度≥1200mm，正面书写区域支持普通粉笔、无尘粉笔等多种笔书写，主屏背部采用高强度镀锌钢板材质；</w:t>
                  </w:r>
                  <w:r>
                    <w:br/>
                  </w:r>
                  <w:r>
                    <w:rPr>
                      <w:rFonts w:ascii="仿宋_GB2312" w:hAnsi="仿宋_GB2312" w:cs="仿宋_GB2312" w:eastAsia="仿宋_GB2312"/>
                      <w:sz w:val="20"/>
                      <w:color w:val="000000"/>
                    </w:rPr>
                    <w:t>2. 智能黑板显示尺寸≥86英寸，分辨率：≥3840*2160；屏体亮度≥400cd/㎡,屏体对比度≥4000:1,色彩覆盖率NTSC≥95%；</w:t>
                  </w:r>
                  <w:r>
                    <w:br/>
                  </w:r>
                  <w:r>
                    <w:rPr>
                      <w:rFonts w:ascii="仿宋_GB2312" w:hAnsi="仿宋_GB2312" w:cs="仿宋_GB2312" w:eastAsia="仿宋_GB2312"/>
                      <w:sz w:val="20"/>
                      <w:color w:val="000000"/>
                    </w:rPr>
                    <w:t>3. 屏幕表面采用≤4.Omm 防眩光钢化玻璃；</w:t>
                  </w:r>
                  <w:r>
                    <w:br/>
                  </w:r>
                  <w:r>
                    <w:rPr>
                      <w:rFonts w:ascii="仿宋_GB2312" w:hAnsi="仿宋_GB2312" w:cs="仿宋_GB2312" w:eastAsia="仿宋_GB2312"/>
                      <w:sz w:val="20"/>
                      <w:color w:val="000000"/>
                    </w:rPr>
                    <w:t>4. 采用红外触控技术，支持在Windows与Android下均≥40点同时触控；触摸响应时间≤8ms；触控高度≤3mm；最小识别直径≤3mm。</w:t>
                  </w:r>
                  <w:r>
                    <w:br/>
                  </w:r>
                  <w:r>
                    <w:rPr>
                      <w:rFonts w:ascii="仿宋_GB2312" w:hAnsi="仿宋_GB2312" w:cs="仿宋_GB2312" w:eastAsia="仿宋_GB2312"/>
                      <w:sz w:val="20"/>
                      <w:color w:val="000000"/>
                    </w:rPr>
                    <w:t>5. 通过DC调光技术,多级亮度调节，白色背景下最暗亮度≥100nit,实现稳定光源无频闪，摄像设备拍摄时画面无条纹闪烁，设备通过无频闪性能测试；</w:t>
                  </w:r>
                  <w:r>
                    <w:br/>
                  </w:r>
                  <w:r>
                    <w:rPr>
                      <w:rFonts w:ascii="仿宋_GB2312" w:hAnsi="仿宋_GB2312" w:cs="仿宋_GB2312" w:eastAsia="仿宋_GB2312"/>
                      <w:sz w:val="20"/>
                      <w:color w:val="000000"/>
                    </w:rPr>
                    <w:t>6. 内置电脑用下插拔卡扣固定结构，无需拆卸显示屏及两侧书写板即可完成插拔操作；</w:t>
                  </w:r>
                  <w:r>
                    <w:br/>
                  </w:r>
                  <w:r>
                    <w:rPr>
                      <w:rFonts w:ascii="仿宋_GB2312" w:hAnsi="仿宋_GB2312" w:cs="仿宋_GB2312" w:eastAsia="仿宋_GB2312"/>
                      <w:sz w:val="20"/>
                      <w:color w:val="000000"/>
                    </w:rPr>
                    <w:t>7. ▲设备支持前置电脑还原物理按键，具有中文标识，可以快速进行系统还原。（提供相应的功能证明材料,包括但不限于测试报告、官网和功能截图等）</w:t>
                  </w:r>
                  <w:r>
                    <w:br/>
                  </w:r>
                  <w:r>
                    <w:rPr>
                      <w:rFonts w:ascii="仿宋_GB2312" w:hAnsi="仿宋_GB2312" w:cs="仿宋_GB2312" w:eastAsia="仿宋_GB2312"/>
                      <w:sz w:val="20"/>
                      <w:color w:val="000000"/>
                    </w:rPr>
                    <w:t>8. ▲设备采用前拆设计，支持前置接口面板、前置按键面板、屏体电源板、扬声器分别可以单独前拆；（提供生产厂家出具的、相应的功能证明材料,包括但不限于测试报告、官网和功能截图等）</w:t>
                  </w:r>
                  <w:r>
                    <w:br/>
                  </w:r>
                  <w:r>
                    <w:rPr>
                      <w:rFonts w:ascii="仿宋_GB2312" w:hAnsi="仿宋_GB2312" w:cs="仿宋_GB2312" w:eastAsia="仿宋_GB2312"/>
                      <w:sz w:val="20"/>
                      <w:color w:val="000000"/>
                    </w:rPr>
                    <w:t>9. 采用物理防蓝光技术，在源头减少有害蓝光波段能量，有害蓝光波长415～455nm＜30%，低蓝光模式屏幕色温无变化。符合GB 40070-2021视力防护标准，蓝光危害为RGO豁免级；亮度均匀性≥70%，闪烁等级≤-30dB；</w:t>
                  </w:r>
                  <w:r>
                    <w:br/>
                  </w:r>
                  <w:r>
                    <w:rPr>
                      <w:rFonts w:ascii="仿宋_GB2312" w:hAnsi="仿宋_GB2312" w:cs="仿宋_GB2312" w:eastAsia="仿宋_GB2312"/>
                      <w:sz w:val="20"/>
                      <w:color w:val="000000"/>
                    </w:rPr>
                    <w:t>10. 设备支持多种开关机模式，定时开关机时间可自行设定；具备自动关机功能。</w:t>
                  </w:r>
                  <w:r>
                    <w:br/>
                  </w:r>
                  <w:r>
                    <w:rPr>
                      <w:rFonts w:ascii="仿宋_GB2312" w:hAnsi="仿宋_GB2312" w:cs="仿宋_GB2312" w:eastAsia="仿宋_GB2312"/>
                      <w:sz w:val="20"/>
                      <w:color w:val="000000"/>
                    </w:rPr>
                    <w:t>11. ▲整机前置接口≥1路HDMI IN接口（非转接），≥2路USB3.0接口，≥1路USB Type-C接口；整机后置接口RJ45≥1路，音频输入≥1路，RS232≥1路，VGA输入接口≥1路；（提供生产厂家出具的、相应的功能证明材料,包括但不限于测试报告、官网和功能截图等）</w:t>
                  </w:r>
                  <w:r>
                    <w:br/>
                  </w:r>
                  <w:r>
                    <w:rPr>
                      <w:rFonts w:ascii="仿宋_GB2312" w:hAnsi="仿宋_GB2312" w:cs="仿宋_GB2312" w:eastAsia="仿宋_GB2312"/>
                      <w:sz w:val="20"/>
                      <w:color w:val="000000"/>
                    </w:rPr>
                    <w:t>12. ▲智能交互黑板前置中文标识物理按键≥7个，通过前置物理按键可以实现护眼、触控开关、关闭窗口、多任务等功能；（提供生产厂家出具的、相应的功能证明材料,包括但不限于测试报告、官网和功能截图等）</w:t>
                  </w:r>
                  <w:r>
                    <w:br/>
                  </w:r>
                  <w:r>
                    <w:rPr>
                      <w:rFonts w:ascii="仿宋_GB2312" w:hAnsi="仿宋_GB2312" w:cs="仿宋_GB2312" w:eastAsia="仿宋_GB2312"/>
                      <w:sz w:val="20"/>
                      <w:color w:val="000000"/>
                    </w:rPr>
                    <w:t>13. ▲智能交互黑板采用不低于12核国产化驱动芯片，≥8核CPU,≥4核GPU；Android 系统版本≥14.0，内存≥4GB，存储≥32GB；（提供生产厂家出具的、相应的功能证明材料,包括但不限于测试报告、官网和功能截图等）</w:t>
                  </w:r>
                  <w:r>
                    <w:br/>
                  </w:r>
                  <w:r>
                    <w:rPr>
                      <w:rFonts w:ascii="仿宋_GB2312" w:hAnsi="仿宋_GB2312" w:cs="仿宋_GB2312" w:eastAsia="仿宋_GB2312"/>
                      <w:sz w:val="20"/>
                      <w:color w:val="000000"/>
                    </w:rPr>
                    <w:t>14. 具备2.2声道,≥4个发声单元，总功率≥60W，可单独对高音、低音、平衡音进行调整。低音音箱尺寸≥3.5英寸；</w:t>
                  </w:r>
                  <w:r>
                    <w:br/>
                  </w:r>
                  <w:r>
                    <w:rPr>
                      <w:rFonts w:ascii="仿宋_GB2312" w:hAnsi="仿宋_GB2312" w:cs="仿宋_GB2312" w:eastAsia="仿宋_GB2312"/>
                      <w:sz w:val="20"/>
                      <w:color w:val="000000"/>
                    </w:rPr>
                    <w:t>15. ▲内置超高清摄像头，摄像头有效像素≥1800W，可输出最大分辨率≥5104*3864的图片与视频，支持2D降噪，支持扫描二维码功能，支持搭配AI软件(击鼓传花、班里挑一等）使用，识别距离≥10米,识别人数≥50个；（提供生产厂家出具的、相应的功能证明材料,包括但不限于测试报告、官网和功能截图等）</w:t>
                  </w:r>
                  <w:r>
                    <w:br/>
                  </w:r>
                  <w:r>
                    <w:rPr>
                      <w:rFonts w:ascii="仿宋_GB2312" w:hAnsi="仿宋_GB2312" w:cs="仿宋_GB2312" w:eastAsia="仿宋_GB2312"/>
                      <w:sz w:val="20"/>
                      <w:color w:val="000000"/>
                    </w:rPr>
                    <w:t>16. 可接入无线麦克风，通过内置音箱扩声，通电不开机状态下也能使用无线麦克风通过本机音箱扩声；</w:t>
                  </w:r>
                  <w:r>
                    <w:br/>
                  </w:r>
                  <w:r>
                    <w:rPr>
                      <w:rFonts w:ascii="仿宋_GB2312" w:hAnsi="仿宋_GB2312" w:cs="仿宋_GB2312" w:eastAsia="仿宋_GB2312"/>
                      <w:sz w:val="20"/>
                      <w:color w:val="000000"/>
                    </w:rPr>
                    <w:t>17. 智能交互黑板内置Wi-Fi6无线网卡，在Android和Windows系统下，可实现Wi-Fi无线上网连接、AP无线热点发射且支持自定义设置热点名称和密码，在双系统下支持无线设备同时连接数量≥30个；</w:t>
                  </w:r>
                  <w:r>
                    <w:br/>
                  </w:r>
                  <w:r>
                    <w:rPr>
                      <w:rFonts w:ascii="仿宋_GB2312" w:hAnsi="仿宋_GB2312" w:cs="仿宋_GB2312" w:eastAsia="仿宋_GB2312"/>
                      <w:sz w:val="20"/>
                      <w:color w:val="000000"/>
                    </w:rPr>
                    <w:t>18. 在任意信号源下，从屏幕下方任意位置向上滑动，可调用快捷设置菜单，可快速调节Windows 和Android 的设置，如声音、亮度、网络等；</w:t>
                  </w:r>
                  <w:r>
                    <w:br/>
                  </w:r>
                  <w:r>
                    <w:rPr>
                      <w:rFonts w:ascii="仿宋_GB2312" w:hAnsi="仿宋_GB2312" w:cs="仿宋_GB2312" w:eastAsia="仿宋_GB2312"/>
                      <w:sz w:val="20"/>
                      <w:color w:val="000000"/>
                    </w:rPr>
                    <w:t>19. ▲具备双侧快捷键功能，支持快捷键单侧显示或双侧同时显示模式，数量各不少于15个，可设置为经典模式或极简模式，可设置快捷键自动隐藏时间；该快捷键至少具有多任务、关闭窗口、展台、桌面、多屏互动等教学常用按键。（提供生产厂家出具的、相应的功能证明材料,包括但不限于测试报告、官网和功能截图等）</w:t>
                  </w:r>
                  <w:r>
                    <w:br/>
                  </w:r>
                  <w:r>
                    <w:rPr>
                      <w:rFonts w:ascii="仿宋_GB2312" w:hAnsi="仿宋_GB2312" w:cs="仿宋_GB2312" w:eastAsia="仿宋_GB2312"/>
                      <w:sz w:val="20"/>
                      <w:color w:val="000000"/>
                    </w:rPr>
                    <w:t>20. ▲具有悬浮菜单，在任意信号源通道下均可调用触摸悬浮菜单。悬浮菜单可进行自定义分组，可添加展台、白板、信号源、文件浏览器、截屏、聚光灯、放大镜、多任务、AI互动软件等不少于30个应用。（提供生产厂家出具的、相应的功能证明材料,包括但不限于测试报告、官网和功能截图等）</w:t>
                  </w:r>
                  <w:r>
                    <w:br/>
                  </w:r>
                  <w:r>
                    <w:rPr>
                      <w:rFonts w:ascii="仿宋_GB2312" w:hAnsi="仿宋_GB2312" w:cs="仿宋_GB2312" w:eastAsia="仿宋_GB2312"/>
                      <w:sz w:val="20"/>
                      <w:color w:val="000000"/>
                    </w:rPr>
                    <w:t>21. 为满足教学过程中多场景应用需求，智慧黑板可通过多指长按屏幕达到息屏及屏幕唤醒功能；</w:t>
                  </w:r>
                  <w:r>
                    <w:br/>
                  </w:r>
                  <w:r>
                    <w:rPr>
                      <w:rFonts w:ascii="仿宋_GB2312" w:hAnsi="仿宋_GB2312" w:cs="仿宋_GB2312" w:eastAsia="仿宋_GB2312"/>
                      <w:sz w:val="20"/>
                      <w:color w:val="000000"/>
                    </w:rPr>
                    <w:t>22. 支持至少三种方式进行屏幕下移，屏幕下移后仍可进行触控、书写等操作；</w:t>
                  </w:r>
                  <w:r>
                    <w:br/>
                  </w:r>
                  <w:r>
                    <w:rPr>
                      <w:rFonts w:ascii="仿宋_GB2312" w:hAnsi="仿宋_GB2312" w:cs="仿宋_GB2312" w:eastAsia="仿宋_GB2312"/>
                      <w:sz w:val="20"/>
                      <w:color w:val="000000"/>
                    </w:rPr>
                    <w:t>23. 具备书写联动功能，支持快捷菜单、 Android 白板﹑windows 白板、WPS或PPT等所有书写笔可实现相互联动。</w:t>
                  </w:r>
                  <w:r>
                    <w:br/>
                  </w:r>
                  <w:r>
                    <w:rPr>
                      <w:rFonts w:ascii="仿宋_GB2312" w:hAnsi="仿宋_GB2312" w:cs="仿宋_GB2312" w:eastAsia="仿宋_GB2312"/>
                      <w:sz w:val="20"/>
                      <w:color w:val="000000"/>
                    </w:rPr>
                    <w:t>内置电脑</w:t>
                  </w:r>
                  <w:r>
                    <w:br/>
                  </w:r>
                  <w:r>
                    <w:rPr>
                      <w:rFonts w:ascii="仿宋_GB2312" w:hAnsi="仿宋_GB2312" w:cs="仿宋_GB2312" w:eastAsia="仿宋_GB2312"/>
                      <w:sz w:val="20"/>
                      <w:color w:val="000000"/>
                    </w:rPr>
                    <w:t>1. 采用80pin Intel通用标准接口,即插即用，易于维护。</w:t>
                  </w:r>
                  <w:r>
                    <w:br/>
                  </w:r>
                  <w:r>
                    <w:rPr>
                      <w:rFonts w:ascii="仿宋_GB2312" w:hAnsi="仿宋_GB2312" w:cs="仿宋_GB2312" w:eastAsia="仿宋_GB2312"/>
                      <w:sz w:val="20"/>
                      <w:color w:val="000000"/>
                    </w:rPr>
                    <w:t>2. 尺寸长度≥220mm，厚度≤30mm。</w:t>
                  </w:r>
                  <w:r>
                    <w:br/>
                  </w:r>
                  <w:r>
                    <w:rPr>
                      <w:rFonts w:ascii="仿宋_GB2312" w:hAnsi="仿宋_GB2312" w:cs="仿宋_GB2312" w:eastAsia="仿宋_GB2312"/>
                      <w:sz w:val="20"/>
                      <w:color w:val="000000"/>
                    </w:rPr>
                    <w:t>3. CPU采用≥Intel第12代及以上平台处理器，内存：≥8G DDR4，硬盘：≥256G SSD固态硬盘。</w:t>
                  </w:r>
                  <w:r>
                    <w:br/>
                  </w:r>
                  <w:r>
                    <w:rPr>
                      <w:rFonts w:ascii="仿宋_GB2312" w:hAnsi="仿宋_GB2312" w:cs="仿宋_GB2312" w:eastAsia="仿宋_GB2312"/>
                      <w:sz w:val="20"/>
                      <w:color w:val="000000"/>
                    </w:rPr>
                    <w:t>4. 接口：整机非外扩展具备≥5个USB接口；具有独立非外扩展的视频输出接口：≥1路HDMI等。</w:t>
                  </w:r>
                </w:p>
              </w:tc>
              <w:tc>
                <w:tcPr>
                  <w:tcW w:type="dxa" w:w="99"/>
                  <w:vMerge w:val="restart"/>
                  <w:tcBorders>
                    <w:top w:val="none" w:color="000000" w:sz="4"/>
                    <w:left w:val="none" w:color="000000" w:sz="4"/>
                    <w:bottom w:val="outset"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color w:val="000000"/>
                    </w:rPr>
                    <w:t>工业</w:t>
                  </w:r>
                </w:p>
              </w:tc>
            </w:tr>
            <w:tr>
              <w:tc>
                <w:tcPr>
                  <w:tcW w:type="dxa" w:w="88"/>
                  <w:vMerge/>
                  <w:tcBorders>
                    <w:top w:val="none" w:color="000000" w:sz="4"/>
                    <w:left w:val="single" w:color="000000" w:sz="4"/>
                    <w:bottom w:val="outset" w:color="000000" w:sz="4"/>
                    <w:right w:val="single" w:color="000000" w:sz="4"/>
                  </w:tcBorders>
                </w:tcPr>
                <w:p/>
              </w:tc>
              <w:tc>
                <w:tcPr>
                  <w:tcW w:type="dxa" w:w="1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color w:val="000000"/>
                    </w:rPr>
                    <w:t>白板软件</w:t>
                  </w:r>
                </w:p>
              </w:tc>
              <w:tc>
                <w:tcPr>
                  <w:tcW w:type="dxa" w:w="123"/>
                  <w:vMerge/>
                  <w:tcBorders>
                    <w:top w:val="none" w:color="000000" w:sz="4"/>
                    <w:left w:val="none" w:color="000000" w:sz="4"/>
                    <w:bottom w:val="outset" w:color="000000" w:sz="4"/>
                    <w:right w:val="single" w:color="000000" w:sz="4"/>
                  </w:tcBorders>
                </w:tcPr>
                <w:p/>
              </w:tc>
              <w:tc>
                <w:tcPr>
                  <w:tcW w:type="dxa" w:w="99"/>
                  <w:vMerge/>
                  <w:tcBorders>
                    <w:top w:val="none" w:color="000000" w:sz="4"/>
                    <w:left w:val="none" w:color="000000" w:sz="4"/>
                    <w:bottom w:val="outset" w:color="000000" w:sz="4"/>
                    <w:right w:val="single" w:color="000000" w:sz="4"/>
                  </w:tcBorders>
                </w:tcPr>
                <w:p/>
              </w:tc>
              <w:tc>
                <w:tcPr>
                  <w:tcW w:type="dxa" w:w="1301"/>
                  <w:gridSpan w:val="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0"/>
                      <w:color w:val="000000"/>
                    </w:rPr>
                    <w:t>1.支持多端程序入口,支持PC端、交互设备、移动端及网页端；且均可快速生成课件。</w:t>
                  </w:r>
                  <w:r>
                    <w:br/>
                  </w:r>
                  <w:r>
                    <w:rPr>
                      <w:rFonts w:ascii="仿宋_GB2312" w:hAnsi="仿宋_GB2312" w:cs="仿宋_GB2312" w:eastAsia="仿宋_GB2312"/>
                      <w:sz w:val="20"/>
                      <w:color w:val="000000"/>
                    </w:rPr>
                    <w:t>2. ▲支持多种登录方式，至少包含账号密码直接登录，微信扫码登录,书写登录等，同时支持免登录打开本地课件；其中书写登录可录入内容及笔迹，在任意设备进行书写登录软件；支持第三方登录,支持对接第三方教育平台，实现统一认证登录。</w:t>
                  </w:r>
                  <w:r>
                    <w:br/>
                  </w:r>
                  <w:r>
                    <w:rPr>
                      <w:rFonts w:ascii="仿宋_GB2312" w:hAnsi="仿宋_GB2312" w:cs="仿宋_GB2312" w:eastAsia="仿宋_GB2312"/>
                      <w:sz w:val="20"/>
                      <w:color w:val="000000"/>
                    </w:rPr>
                    <w:t>3. 支持老师个人账号无需完成特定任务，即可获取不少于 200GB云端存储空间，支持扩展至2TB云存储空间。</w:t>
                  </w:r>
                  <w:r>
                    <w:br/>
                  </w:r>
                  <w:r>
                    <w:rPr>
                      <w:rFonts w:ascii="仿宋_GB2312" w:hAnsi="仿宋_GB2312" w:cs="仿宋_GB2312" w:eastAsia="仿宋_GB2312"/>
                      <w:sz w:val="20"/>
                      <w:color w:val="000000"/>
                    </w:rPr>
                    <w:t>4. 提供预置的课件素材，允许老师在网页端、移动端、电脑端进行内容的选择与组合，快速生成课件并浏览，所有制作的课件均实时保存至云端。</w:t>
                  </w:r>
                  <w:r>
                    <w:br/>
                  </w:r>
                  <w:r>
                    <w:rPr>
                      <w:rFonts w:ascii="仿宋_GB2312" w:hAnsi="仿宋_GB2312" w:cs="仿宋_GB2312" w:eastAsia="仿宋_GB2312"/>
                      <w:sz w:val="20"/>
                      <w:color w:val="000000"/>
                    </w:rPr>
                    <w:t>5.支持老师根据教材章节目录、知识点选择对应的教学内容。老师仅需要按每个教学环节选择所需的教学模块即可快速生成一份课件。</w:t>
                  </w:r>
                  <w:r>
                    <w:br/>
                  </w:r>
                  <w:r>
                    <w:rPr>
                      <w:rFonts w:ascii="仿宋_GB2312" w:hAnsi="仿宋_GB2312" w:cs="仿宋_GB2312" w:eastAsia="仿宋_GB2312"/>
                      <w:sz w:val="20"/>
                      <w:color w:val="000000"/>
                    </w:rPr>
                    <w:t>6.支持教师对课件知识点进行评价,至少支持对教学设计、交互工具、课件素材、课件排版、教学方法进行选择评价；</w:t>
                  </w:r>
                  <w:r>
                    <w:br/>
                  </w:r>
                  <w:r>
                    <w:rPr>
                      <w:rFonts w:ascii="仿宋_GB2312" w:hAnsi="仿宋_GB2312" w:cs="仿宋_GB2312" w:eastAsia="仿宋_GB2312"/>
                      <w:sz w:val="20"/>
                      <w:color w:val="000000"/>
                    </w:rPr>
                    <w:t>7. 支持单独PPT 导入功能，并支持导入进度条提示功能，用户可查看当前导入进度，上传完成后具有中文提示功能。</w:t>
                  </w:r>
                  <w:r>
                    <w:br/>
                  </w:r>
                  <w:r>
                    <w:rPr>
                      <w:rFonts w:ascii="仿宋_GB2312" w:hAnsi="仿宋_GB2312" w:cs="仿宋_GB2312" w:eastAsia="仿宋_GB2312"/>
                      <w:sz w:val="20"/>
                      <w:color w:val="000000"/>
                    </w:rPr>
                    <w:t>8. 提供模块化的课件素材和教案，学科涵盖小学语数英、小学科学、初中语数英、物化生、高中数学等学科 (教材版本覆盖统编版、人教版、 教科版、外研新标准版、北师大版、中图版等) ，课件支持组选：课堂导入，知识讲解，例题与变式，拓展延伸，课外活动等，课件总课时量不低于 3600 个课时，且软件定时更新。</w:t>
                  </w:r>
                  <w:r>
                    <w:br/>
                  </w:r>
                  <w:r>
                    <w:rPr>
                      <w:rFonts w:ascii="仿宋_GB2312" w:hAnsi="仿宋_GB2312" w:cs="仿宋_GB2312" w:eastAsia="仿宋_GB2312"/>
                      <w:sz w:val="20"/>
                      <w:color w:val="000000"/>
                    </w:rPr>
                    <w:t>9. 提供语文生字卡片、英语生词卡片、化学工具编辑器、数学工具编辑器等学课工具。支持插入物理化学仿真实验，点击添加3D交互仿真理化试验到课件中。</w:t>
                  </w:r>
                  <w:r>
                    <w:br/>
                  </w:r>
                  <w:r>
                    <w:rPr>
                      <w:rFonts w:ascii="仿宋_GB2312" w:hAnsi="仿宋_GB2312" w:cs="仿宋_GB2312" w:eastAsia="仿宋_GB2312"/>
                      <w:sz w:val="20"/>
                      <w:color w:val="000000"/>
                    </w:rPr>
                    <w:t>10. 具有各省市高考、统考真题、学校考试真题，以及教辅书中的习题组成中学数学学科题库，题库自带答案及解析，题库内的题目可以筛选题型和试题难度。</w:t>
                  </w:r>
                </w:p>
                <w:p>
                  <w:pPr>
                    <w:pStyle w:val="null3"/>
                    <w:jc w:val="left"/>
                  </w:pPr>
                  <w:r>
                    <w:rPr>
                      <w:rFonts w:ascii="仿宋_GB2312" w:hAnsi="仿宋_GB2312" w:cs="仿宋_GB2312" w:eastAsia="仿宋_GB2312"/>
                      <w:sz w:val="20"/>
                      <w:color w:val="000000"/>
                    </w:rPr>
                    <w:t>11. 可创建交互式动态课件，提供相应的教学画板工具。</w:t>
                  </w:r>
                </w:p>
                <w:p>
                  <w:pPr>
                    <w:pStyle w:val="null3"/>
                    <w:jc w:val="left"/>
                  </w:pPr>
                  <w:r>
                    <w:rPr>
                      <w:rFonts w:ascii="仿宋_GB2312" w:hAnsi="仿宋_GB2312" w:cs="仿宋_GB2312" w:eastAsia="仿宋_GB2312"/>
                      <w:sz w:val="20"/>
                      <w:color w:val="000000"/>
                    </w:rPr>
                    <w:t>12. 提供知识包含但不限于配对、分屏竞技、连词成句、翻翻卡、消消乐等不少于6种类型的课堂活动。</w:t>
                  </w:r>
                  <w:r>
                    <w:br/>
                  </w:r>
                  <w:r>
                    <w:rPr>
                      <w:rFonts w:ascii="仿宋_GB2312" w:hAnsi="仿宋_GB2312" w:cs="仿宋_GB2312" w:eastAsia="仿宋_GB2312"/>
                      <w:sz w:val="20"/>
                      <w:color w:val="000000"/>
                    </w:rPr>
                    <w:t>13. ▲提供至少3种活动组件，包含但不限于骰子、大转盘、随机数，活动组件可选择不同的外观，可设置转盘个数和随机数上限。</w:t>
                  </w:r>
                  <w:r>
                    <w:br/>
                  </w:r>
                  <w:r>
                    <w:rPr>
                      <w:rFonts w:ascii="仿宋_GB2312" w:hAnsi="仿宋_GB2312" w:cs="仿宋_GB2312" w:eastAsia="仿宋_GB2312"/>
                      <w:sz w:val="20"/>
                      <w:color w:val="000000"/>
                    </w:rPr>
                    <w:t>14. 可插入音频，支持对音频的剪辑，可拖动或输入音频的开始和结束位置；</w:t>
                  </w:r>
                  <w:r>
                    <w:br/>
                  </w:r>
                  <w:r>
                    <w:rPr>
                      <w:rFonts w:ascii="仿宋_GB2312" w:hAnsi="仿宋_GB2312" w:cs="仿宋_GB2312" w:eastAsia="仿宋_GB2312"/>
                      <w:sz w:val="20"/>
                      <w:color w:val="000000"/>
                    </w:rPr>
                    <w:t>15. 可插入云平台上的教学资源，提供人教版、北师大版等多个教材版本，包含语数英11个主要学科的教学资源，内置数百个交互式动画,提供1000个制作完成的语文、数学交互式动画课件素材，可直接选用插入到课件中。</w:t>
                  </w:r>
                  <w:r>
                    <w:br/>
                  </w:r>
                  <w:r>
                    <w:rPr>
                      <w:rFonts w:ascii="仿宋_GB2312" w:hAnsi="仿宋_GB2312" w:cs="仿宋_GB2312" w:eastAsia="仿宋_GB2312"/>
                      <w:sz w:val="20"/>
                      <w:color w:val="000000"/>
                    </w:rPr>
                    <w:t>16. 板书状态支持显示文件、工具和应用的便捷入口，当开始批注且有笔迹时，自动隐藏便捷入口，清除笔迹时，自动恢复显示便捷入口；</w:t>
                  </w:r>
                  <w:r>
                    <w:br/>
                  </w:r>
                  <w:r>
                    <w:rPr>
                      <w:rFonts w:ascii="仿宋_GB2312" w:hAnsi="仿宋_GB2312" w:cs="仿宋_GB2312" w:eastAsia="仿宋_GB2312"/>
                      <w:sz w:val="20"/>
                      <w:color w:val="000000"/>
                    </w:rPr>
                    <w:t>17. 授课模式，各窗口之间可进行独立批注；文件大小窗口批注同步,可实现翻页跟随；批注可以跟随漫游；批注支持至少9种笔型，6种颜色可选。</w:t>
                  </w:r>
                  <w:r>
                    <w:br/>
                  </w:r>
                  <w:r>
                    <w:rPr>
                      <w:rFonts w:ascii="仿宋_GB2312" w:hAnsi="仿宋_GB2312" w:cs="仿宋_GB2312" w:eastAsia="仿宋_GB2312"/>
                      <w:sz w:val="20"/>
                      <w:color w:val="000000"/>
                    </w:rPr>
                    <w:t>18.▲支持用户自定义添加/移除本机应用；包括展台、投屏、课堂评价、录制课程、看电视、AI课堂、直播、白板、网页、音视频媒体播放器，实现授课场景教学应用的便捷调用；并支持点击展示已打开的全部应用，实现一键应用切换；</w:t>
                  </w:r>
                  <w:r>
                    <w:br/>
                  </w:r>
                  <w:r>
                    <w:rPr>
                      <w:rFonts w:ascii="仿宋_GB2312" w:hAnsi="仿宋_GB2312" w:cs="仿宋_GB2312" w:eastAsia="仿宋_GB2312"/>
                      <w:sz w:val="20"/>
                      <w:color w:val="000000"/>
                    </w:rPr>
                    <w:t>19. 授课两侧工具栏支持上下移动，支持收起或展开，工具栏功能至少支持批注、打开文件、教学工具、应用切换等，工具子菜单支持在屏幕拖动；</w:t>
                  </w:r>
                  <w:r>
                    <w:br/>
                  </w:r>
                  <w:r>
                    <w:rPr>
                      <w:rFonts w:ascii="仿宋_GB2312" w:hAnsi="仿宋_GB2312" w:cs="仿宋_GB2312" w:eastAsia="仿宋_GB2312"/>
                      <w:sz w:val="20"/>
                      <w:color w:val="000000"/>
                    </w:rPr>
                    <w:t>20. 工具中支持使用学科工具，至少包含5种尺规工具、21种形状工具、拼音、四线三格、汉字、39种物理工具、27种化学工具；其中，形状工具、物理工具和化学工具可进行交互操作(如改变烧杯液体容量、酒精灯火焰状态)。</w:t>
                  </w:r>
                  <w:r>
                    <w:br/>
                  </w:r>
                  <w:r>
                    <w:rPr>
                      <w:rFonts w:ascii="仿宋_GB2312" w:hAnsi="仿宋_GB2312" w:cs="仿宋_GB2312" w:eastAsia="仿宋_GB2312"/>
                      <w:sz w:val="20"/>
                      <w:color w:val="000000"/>
                    </w:rPr>
                    <w:t>21. ▲支持打开电脑文件、U盘文件等本地文件；不需导入，可直接打开本地视频、音频、图片、离线教学课件、PPT&amp;PPTX、PDF文件、DOC&amp;DOCX文件及swf文件；支持展示当前已打开的文件，点击实现文件窗口的便捷切换，支持文件一键全部最小化，支持双击实现文件全屏播放。支持打开其他网盘中的文件，包含不少于4种常用的第三方网盘；</w:t>
                  </w:r>
                  <w:r>
                    <w:br/>
                  </w:r>
                  <w:r>
                    <w:rPr>
                      <w:rFonts w:ascii="仿宋_GB2312" w:hAnsi="仿宋_GB2312" w:cs="仿宋_GB2312" w:eastAsia="仿宋_GB2312"/>
                      <w:sz w:val="20"/>
                      <w:color w:val="000000"/>
                    </w:rPr>
                    <w:t>22. 提供不少于20个蒙层模板，老师备课时选择合适的蒙层图片遮住元素，授课时用橡皮擦除蒙层，展现被蒙住的元素</w:t>
                  </w:r>
                  <w:r>
                    <w:br/>
                  </w:r>
                  <w:r>
                    <w:rPr>
                      <w:rFonts w:ascii="仿宋_GB2312" w:hAnsi="仿宋_GB2312" w:cs="仿宋_GB2312" w:eastAsia="仿宋_GB2312"/>
                      <w:sz w:val="20"/>
                      <w:color w:val="000000"/>
                    </w:rPr>
                    <w:t>23. 支持对全班、单个或多个学生进行评价，评价结果可撤回，老师可通过移动端、PC端及网页端对学生进行行为评价打分，可显示班级得分前列的学生信息，学生头像均采用卡通化方式，软件支持随机抽选学生进行评价，支持计时器功能，包括秒表和倒计时，支持家长通过移动端查看学生的近期表现。</w:t>
                  </w:r>
                  <w:r>
                    <w:br/>
                  </w:r>
                  <w:r>
                    <w:rPr>
                      <w:rFonts w:ascii="仿宋_GB2312" w:hAnsi="仿宋_GB2312" w:cs="仿宋_GB2312" w:eastAsia="仿宋_GB2312"/>
                      <w:sz w:val="20"/>
                      <w:color w:val="000000"/>
                    </w:rPr>
                    <w:t>24. 教室内智能交互设备上点击电子黑板贴，可实现屏幕截图，实时语文、数学、外语、值日、通知等学科分类任务预留，截图操作灵活方便，支持手势拖拽边框缩放大小，可选择区域显示范围。</w:t>
                  </w:r>
                  <w:r>
                    <w:br/>
                  </w:r>
                  <w:r>
                    <w:rPr>
                      <w:rFonts w:ascii="仿宋_GB2312" w:hAnsi="仿宋_GB2312" w:cs="仿宋_GB2312" w:eastAsia="仿宋_GB2312"/>
                      <w:sz w:val="20"/>
                      <w:color w:val="000000"/>
                    </w:rPr>
                    <w:t>25. 智能交互设备上可查看/删除已留任务/通知内容，按学科语、数、外、通知等类别分别展示和查看，多图轮播，支持手势点击放大图片，手势滑动图片。</w:t>
                  </w:r>
                  <w:r>
                    <w:br/>
                  </w:r>
                  <w:r>
                    <w:rPr>
                      <w:rFonts w:ascii="仿宋_GB2312" w:hAnsi="仿宋_GB2312" w:cs="仿宋_GB2312" w:eastAsia="仿宋_GB2312"/>
                      <w:sz w:val="20"/>
                      <w:color w:val="000000"/>
                    </w:rPr>
                    <w:t>录课工具</w:t>
                  </w:r>
                  <w:r>
                    <w:br/>
                  </w:r>
                  <w:r>
                    <w:rPr>
                      <w:rFonts w:ascii="仿宋_GB2312" w:hAnsi="仿宋_GB2312" w:cs="仿宋_GB2312" w:eastAsia="仿宋_GB2312"/>
                      <w:sz w:val="20"/>
                      <w:color w:val="000000"/>
                    </w:rPr>
                    <w:t>1. 支持屏幕、屏幕+摄像头等多种形式的录制，也可结合录播系统进行全景录制。</w:t>
                  </w:r>
                  <w:r>
                    <w:br/>
                  </w:r>
                  <w:r>
                    <w:rPr>
                      <w:rFonts w:ascii="仿宋_GB2312" w:hAnsi="仿宋_GB2312" w:cs="仿宋_GB2312" w:eastAsia="仿宋_GB2312"/>
                      <w:sz w:val="20"/>
                      <w:color w:val="000000"/>
                    </w:rPr>
                    <w:t>2. 支持对视频清晰度的调整，提供高清、超清、超高清的切换，方便用户在手机、电脑或者大屏上观看。</w:t>
                  </w:r>
                  <w:r>
                    <w:br/>
                  </w:r>
                  <w:r>
                    <w:rPr>
                      <w:rFonts w:ascii="仿宋_GB2312" w:hAnsi="仿宋_GB2312" w:cs="仿宋_GB2312" w:eastAsia="仿宋_GB2312"/>
                      <w:sz w:val="20"/>
                      <w:color w:val="000000"/>
                    </w:rPr>
                    <w:t>3. 在桌面及摄像头录制场景下，能自动侦测摄像头，可识别出展台摄像头，同时支持摄像头画面的切换、移动及大小的调整。</w:t>
                  </w:r>
                  <w:r>
                    <w:br/>
                  </w:r>
                  <w:r>
                    <w:rPr>
                      <w:rFonts w:ascii="仿宋_GB2312" w:hAnsi="仿宋_GB2312" w:cs="仿宋_GB2312" w:eastAsia="仿宋_GB2312"/>
                      <w:sz w:val="20"/>
                      <w:color w:val="000000"/>
                    </w:rPr>
                    <w:t>4. 录制过程中支持随时开启分享功能，实现即时直播，开通直播后生成直播海报、直播码，易于分享；听课端无需下载软件，扫描二维码即可进入直播课堂并进行互动。且支持手机端、PC端观看直播，可实现课堂实时评论。</w:t>
                  </w:r>
                  <w:r>
                    <w:br/>
                  </w:r>
                  <w:r>
                    <w:rPr>
                      <w:rFonts w:ascii="仿宋_GB2312" w:hAnsi="仿宋_GB2312" w:cs="仿宋_GB2312" w:eastAsia="仿宋_GB2312"/>
                      <w:sz w:val="20"/>
                      <w:color w:val="000000"/>
                    </w:rPr>
                    <w:t>5. 录制视频可自动保存在本地，也可上传至云端教师空间，结束录制即生成回看视频，可快速浏览录制情况。</w:t>
                  </w:r>
                </w:p>
              </w:tc>
            </w:tr>
            <w:tr>
              <w:tc>
                <w:tcPr>
                  <w:tcW w:type="dxa" w:w="88"/>
                  <w:vMerge/>
                  <w:tcBorders>
                    <w:top w:val="none" w:color="000000" w:sz="4"/>
                    <w:left w:val="single" w:color="000000" w:sz="4"/>
                    <w:bottom w:val="outset" w:color="000000" w:sz="4"/>
                    <w:right w:val="single" w:color="000000" w:sz="4"/>
                  </w:tcBorders>
                </w:tcPr>
                <w:p/>
              </w:tc>
              <w:tc>
                <w:tcPr>
                  <w:tcW w:type="dxa" w:w="1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color w:val="000000"/>
                    </w:rPr>
                    <w:t>教学数据分析管理平台</w:t>
                  </w:r>
                </w:p>
              </w:tc>
              <w:tc>
                <w:tcPr>
                  <w:tcW w:type="dxa" w:w="123"/>
                  <w:vMerge/>
                  <w:tcBorders>
                    <w:top w:val="none" w:color="000000" w:sz="4"/>
                    <w:left w:val="none" w:color="000000" w:sz="4"/>
                    <w:bottom w:val="outset" w:color="000000" w:sz="4"/>
                    <w:right w:val="single" w:color="000000" w:sz="4"/>
                  </w:tcBorders>
                </w:tcPr>
                <w:p/>
              </w:tc>
              <w:tc>
                <w:tcPr>
                  <w:tcW w:type="dxa" w:w="99"/>
                  <w:vMerge/>
                  <w:tcBorders>
                    <w:top w:val="none" w:color="000000" w:sz="4"/>
                    <w:left w:val="none" w:color="000000" w:sz="4"/>
                    <w:bottom w:val="outset" w:color="000000" w:sz="4"/>
                    <w:right w:val="single" w:color="000000" w:sz="4"/>
                  </w:tcBorders>
                </w:tcPr>
                <w:p/>
              </w:tc>
              <w:tc>
                <w:tcPr>
                  <w:tcW w:type="dxa" w:w="1301"/>
                  <w:gridSpan w:val="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0"/>
                      <w:color w:val="000000"/>
                    </w:rPr>
                    <w:t>1.▲后台控制端采用 B/S 架构设计，可在 Windows、Linux、Android、IOS 等多种不同的操作系统上通过网页浏览器登录进行操作；</w:t>
                  </w:r>
                  <w:r>
                    <w:br/>
                  </w:r>
                  <w:r>
                    <w:rPr>
                      <w:rFonts w:ascii="仿宋_GB2312" w:hAnsi="仿宋_GB2312" w:cs="仿宋_GB2312" w:eastAsia="仿宋_GB2312"/>
                      <w:sz w:val="20"/>
                      <w:color w:val="000000"/>
                    </w:rPr>
                    <w:t>2. 支持安全管理，首次登录，切换环境登录时验证用户身份手机验证码，保障系统安全性。</w:t>
                  </w:r>
                  <w:r>
                    <w:br/>
                  </w:r>
                  <w:r>
                    <w:rPr>
                      <w:rFonts w:ascii="仿宋_GB2312" w:hAnsi="仿宋_GB2312" w:cs="仿宋_GB2312" w:eastAsia="仿宋_GB2312"/>
                      <w:sz w:val="20"/>
                      <w:color w:val="000000"/>
                    </w:rPr>
                    <w:t>3.▲具备多层级用户管理，可设置不同权限的管理员，分配地点管理校园设备；用户账号与云端账号统一，根据手机号自动获取用户信息；</w:t>
                  </w:r>
                  <w:r>
                    <w:br/>
                  </w:r>
                  <w:r>
                    <w:rPr>
                      <w:rFonts w:ascii="仿宋_GB2312" w:hAnsi="仿宋_GB2312" w:cs="仿宋_GB2312" w:eastAsia="仿宋_GB2312"/>
                      <w:sz w:val="20"/>
                      <w:color w:val="000000"/>
                    </w:rPr>
                    <w:t>4. 支持查看校园内所有设备的状态，包括在线、离线状态，教室名称、内存使用率、CPU使用率、C盘使用率，支持按照设备类型、设备名称进行查询筛选；支持按列表展示以及按缩略图展示；</w:t>
                  </w:r>
                  <w:r>
                    <w:br/>
                  </w:r>
                  <w:r>
                    <w:rPr>
                      <w:rFonts w:ascii="仿宋_GB2312" w:hAnsi="仿宋_GB2312" w:cs="仿宋_GB2312" w:eastAsia="仿宋_GB2312"/>
                      <w:sz w:val="20"/>
                      <w:color w:val="000000"/>
                    </w:rPr>
                    <w:t>5. 可批量对选定的受控设备进行关机、重启、触控切换（屏幕触控锁定、解锁），童锁切换、信号源切换、音量调节、打铃操作；</w:t>
                  </w:r>
                  <w:r>
                    <w:br/>
                  </w:r>
                  <w:r>
                    <w:rPr>
                      <w:rFonts w:ascii="仿宋_GB2312" w:hAnsi="仿宋_GB2312" w:cs="仿宋_GB2312" w:eastAsia="仿宋_GB2312"/>
                      <w:sz w:val="20"/>
                      <w:color w:val="000000"/>
                    </w:rPr>
                    <w:t>6. 可远程对选定的设备做定时关机、定时打铃、定时切换信号源、定时信息发布，实现单次、每日循环、每周循环、每月循环的定时控制。支持定时操作列表查询，并可对具体某项定时操作进行再次编辑；</w:t>
                  </w:r>
                  <w:r>
                    <w:br/>
                  </w:r>
                  <w:r>
                    <w:rPr>
                      <w:rFonts w:ascii="仿宋_GB2312" w:hAnsi="仿宋_GB2312" w:cs="仿宋_GB2312" w:eastAsia="仿宋_GB2312"/>
                      <w:sz w:val="20"/>
                      <w:color w:val="000000"/>
                    </w:rPr>
                    <w:t>7. 支持查看控制列表，查看立即控制、定时计划、信息发布等内容；包含下发命令内容、执行时间、执行策略、已执行数量等内容；</w:t>
                  </w:r>
                  <w:r>
                    <w:br/>
                  </w:r>
                  <w:r>
                    <w:rPr>
                      <w:rFonts w:ascii="仿宋_GB2312" w:hAnsi="仿宋_GB2312" w:cs="仿宋_GB2312" w:eastAsia="仿宋_GB2312"/>
                      <w:sz w:val="20"/>
                      <w:color w:val="000000"/>
                    </w:rPr>
                    <w:t>8. 可即时向任意选定的设备发布纯文本信息，支持常驻桌面型、滚动发布型及气泡弹出提示，可设置播放时长，支持再次编辑；支持设置字体及字体颜色；</w:t>
                  </w:r>
                  <w:r>
                    <w:br/>
                  </w:r>
                  <w:r>
                    <w:rPr>
                      <w:rFonts w:ascii="仿宋_GB2312" w:hAnsi="仿宋_GB2312" w:cs="仿宋_GB2312" w:eastAsia="仿宋_GB2312"/>
                      <w:sz w:val="20"/>
                      <w:color w:val="000000"/>
                    </w:rPr>
                    <w:t>9. 支持多文件推送至任意选定的设备，包括文本、图片、pdf、word、excel、ppt、flash、音视频；</w:t>
                  </w:r>
                  <w:r>
                    <w:br/>
                  </w:r>
                  <w:r>
                    <w:rPr>
                      <w:rFonts w:ascii="仿宋_GB2312" w:hAnsi="仿宋_GB2312" w:cs="仿宋_GB2312" w:eastAsia="仿宋_GB2312"/>
                      <w:sz w:val="20"/>
                      <w:color w:val="000000"/>
                    </w:rPr>
                    <w:t xml:space="preserve">10. 支持上传软件至平台，自动下发至桌面进行自动运行安装；  </w:t>
                  </w:r>
                  <w:r>
                    <w:br/>
                  </w:r>
                  <w:r>
                    <w:rPr>
                      <w:rFonts w:ascii="仿宋_GB2312" w:hAnsi="仿宋_GB2312" w:cs="仿宋_GB2312" w:eastAsia="仿宋_GB2312"/>
                      <w:sz w:val="20"/>
                      <w:color w:val="000000"/>
                    </w:rPr>
                    <w:t>11. 支持远程巡课，默认查看当前屏幕画面，实时监控当前设备桌面，支持同时查看设备不少于80台；可切换摄像头画面，包括学生画面、教师画面，同步教室声音；无需部署本地巡课服务器；</w:t>
                  </w:r>
                  <w:r>
                    <w:br/>
                  </w:r>
                  <w:r>
                    <w:rPr>
                      <w:rFonts w:ascii="仿宋_GB2312" w:hAnsi="仿宋_GB2312" w:cs="仿宋_GB2312" w:eastAsia="仿宋_GB2312"/>
                      <w:sz w:val="20"/>
                      <w:color w:val="000000"/>
                    </w:rPr>
                    <w:t>12. 课间文化：选择音/视频下发至大屏，自定义时间自动播放；单次播放，每日/每周/每月定时播放；无需部署本地服务器；</w:t>
                  </w:r>
                  <w:r>
                    <w:br/>
                  </w:r>
                  <w:r>
                    <w:rPr>
                      <w:rFonts w:ascii="仿宋_GB2312" w:hAnsi="仿宋_GB2312" w:cs="仿宋_GB2312" w:eastAsia="仿宋_GB2312"/>
                      <w:sz w:val="20"/>
                      <w:color w:val="000000"/>
                    </w:rPr>
                    <w:t>13. 以图文形式对设备的使用情况进行数据统计，可以按照一定时间周期进行统计，也支持按日、周、月进行统计；</w:t>
                  </w:r>
                  <w:r>
                    <w:br/>
                  </w:r>
                  <w:r>
                    <w:rPr>
                      <w:rFonts w:ascii="仿宋_GB2312" w:hAnsi="仿宋_GB2312" w:cs="仿宋_GB2312" w:eastAsia="仿宋_GB2312"/>
                      <w:sz w:val="20"/>
                      <w:color w:val="000000"/>
                    </w:rPr>
                    <w:t>14. 统计内容包括设备数量、设备开机率、设备开机时长、软件使用活跃度、设备活跃度排行、设备使用时长分布、设备在线数量、学科使用情况等，支持以统计图表显示及以excel格式导出；</w:t>
                  </w:r>
                  <w:r>
                    <w:br/>
                  </w:r>
                  <w:r>
                    <w:rPr>
                      <w:rFonts w:ascii="仿宋_GB2312" w:hAnsi="仿宋_GB2312" w:cs="仿宋_GB2312" w:eastAsia="仿宋_GB2312"/>
                      <w:sz w:val="20"/>
                      <w:color w:val="000000"/>
                    </w:rPr>
                    <w:t>15. 支持将统计图表内容以pdf形式，每周推送至用户移动端中；</w:t>
                  </w:r>
                  <w:r>
                    <w:br/>
                  </w:r>
                  <w:r>
                    <w:rPr>
                      <w:rFonts w:ascii="仿宋_GB2312" w:hAnsi="仿宋_GB2312" w:cs="仿宋_GB2312" w:eastAsia="仿宋_GB2312"/>
                      <w:sz w:val="20"/>
                      <w:color w:val="000000"/>
                    </w:rPr>
                    <w:t>16. 区级管理员可查看该区域下所有学校设备数据，校级管理员可查看本校所有设备数据；</w:t>
                  </w:r>
                  <w:r>
                    <w:br/>
                  </w:r>
                  <w:r>
                    <w:rPr>
                      <w:rFonts w:ascii="仿宋_GB2312" w:hAnsi="仿宋_GB2312" w:cs="仿宋_GB2312" w:eastAsia="仿宋_GB2312"/>
                      <w:sz w:val="20"/>
                      <w:color w:val="000000"/>
                    </w:rPr>
                    <w:t>17. 支持查看学校信息，学校编号、设备授权数量、学校地址、校管理员名称、联系电话等；</w:t>
                  </w:r>
                  <w:r>
                    <w:br/>
                  </w:r>
                  <w:r>
                    <w:rPr>
                      <w:rFonts w:ascii="仿宋_GB2312" w:hAnsi="仿宋_GB2312" w:cs="仿宋_GB2312" w:eastAsia="仿宋_GB2312"/>
                      <w:sz w:val="20"/>
                      <w:color w:val="000000"/>
                    </w:rPr>
                    <w:t>18. 可对学校的所有设备按年级或楼层等进行任意分组设置，并可以对分组进行修改、删除等操作；支持分组属性定义“教室”，包含多媒体教室、语音室、实验室、普通教室等类型；</w:t>
                  </w:r>
                  <w:r>
                    <w:br/>
                  </w:r>
                  <w:r>
                    <w:rPr>
                      <w:rFonts w:ascii="仿宋_GB2312" w:hAnsi="仿宋_GB2312" w:cs="仿宋_GB2312" w:eastAsia="仿宋_GB2312"/>
                      <w:sz w:val="20"/>
                      <w:color w:val="000000"/>
                    </w:rPr>
                    <w:t>19. 支持按照设备类型、设备名称等进行筛选；支持批量查看设备名称、班级名称、设备类型、设备编码、设备序列号；支持批量移动设备、导出设备列表、批量删除设备；</w:t>
                  </w:r>
                  <w:r>
                    <w:br/>
                  </w:r>
                  <w:r>
                    <w:rPr>
                      <w:rFonts w:ascii="仿宋_GB2312" w:hAnsi="仿宋_GB2312" w:cs="仿宋_GB2312" w:eastAsia="仿宋_GB2312"/>
                      <w:sz w:val="20"/>
                      <w:color w:val="000000"/>
                    </w:rPr>
                    <w:t>20. 支持查看用户姓名、账号、分组权限，支持手机号开通用户，用户编辑、批量删除用户等功能；</w:t>
                  </w:r>
                  <w:r>
                    <w:br/>
                  </w:r>
                  <w:r>
                    <w:rPr>
                      <w:rFonts w:ascii="仿宋_GB2312" w:hAnsi="仿宋_GB2312" w:cs="仿宋_GB2312" w:eastAsia="仿宋_GB2312"/>
                      <w:sz w:val="20"/>
                      <w:color w:val="000000"/>
                    </w:rPr>
                    <w:t>21. 远程巡课画面分辨率以及码率，并可配置校本资源URL链接；</w:t>
                  </w:r>
                  <w:r>
                    <w:br/>
                  </w:r>
                  <w:r>
                    <w:rPr>
                      <w:rFonts w:ascii="仿宋_GB2312" w:hAnsi="仿宋_GB2312" w:cs="仿宋_GB2312" w:eastAsia="仿宋_GB2312"/>
                      <w:sz w:val="20"/>
                      <w:color w:val="000000"/>
                    </w:rPr>
                    <w:t>22. 支持查看用户登录平台情况，包含用户账号、用户登录时IP地址、浏览器信息、操作系统、登陆时间等信息；支持根据时间段、用户账号、用户名称等进行对用户登录情况进行筛选；</w:t>
                  </w:r>
                  <w:r>
                    <w:br/>
                  </w:r>
                  <w:r>
                    <w:rPr>
                      <w:rFonts w:ascii="仿宋_GB2312" w:hAnsi="仿宋_GB2312" w:cs="仿宋_GB2312" w:eastAsia="仿宋_GB2312"/>
                      <w:sz w:val="20"/>
                      <w:color w:val="000000"/>
                    </w:rPr>
                    <w:t>23. 支持查看当前设备在线数量，设备在线率；</w:t>
                  </w:r>
                  <w:r>
                    <w:br/>
                  </w:r>
                  <w:r>
                    <w:rPr>
                      <w:rFonts w:ascii="仿宋_GB2312" w:hAnsi="仿宋_GB2312" w:cs="仿宋_GB2312" w:eastAsia="仿宋_GB2312"/>
                      <w:sz w:val="20"/>
                      <w:color w:val="000000"/>
                    </w:rPr>
                    <w:t>24. 可实时查看在线离线设备，对一台或多台设备集中管理，可执行开机、关机、童锁锁定、解锁等操作；支持实时监控桌面画面，查看当前设备使用、详情：包含CPU使用率、内存使用率、C盘容量、音量、开机时长、童锁状态信息；</w:t>
                  </w:r>
                  <w:r>
                    <w:br/>
                  </w:r>
                  <w:r>
                    <w:rPr>
                      <w:rFonts w:ascii="仿宋_GB2312" w:hAnsi="仿宋_GB2312" w:cs="仿宋_GB2312" w:eastAsia="仿宋_GB2312"/>
                      <w:sz w:val="20"/>
                      <w:color w:val="000000"/>
                    </w:rPr>
                    <w:t>25. 支持实时查看全校设备使用情况：如设备活跃度、软件使用排行、设备在线数量、设备使用时长分布等</w:t>
                  </w:r>
                  <w:r>
                    <w:br/>
                  </w:r>
                  <w:r>
                    <w:rPr>
                      <w:rFonts w:ascii="仿宋_GB2312" w:hAnsi="仿宋_GB2312" w:cs="仿宋_GB2312" w:eastAsia="仿宋_GB2312"/>
                      <w:sz w:val="20"/>
                      <w:color w:val="000000"/>
                    </w:rPr>
                    <w:t>26. 支持查看管理员基本信息：账户、角色、学校；查看设备控制命令异常数；</w:t>
                  </w:r>
                </w:p>
              </w:tc>
            </w:tr>
            <w:tr>
              <w:tc>
                <w:tcPr>
                  <w:tcW w:type="dxa" w:w="88"/>
                  <w:vMerge/>
                  <w:tcBorders>
                    <w:top w:val="none" w:color="000000" w:sz="4"/>
                    <w:left w:val="single" w:color="000000" w:sz="4"/>
                    <w:bottom w:val="outset" w:color="000000" w:sz="4"/>
                    <w:right w:val="single" w:color="000000" w:sz="4"/>
                  </w:tcBorders>
                </w:tcPr>
                <w:p/>
              </w:tc>
              <w:tc>
                <w:tcPr>
                  <w:tcW w:type="dxa" w:w="1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color w:val="000000"/>
                    </w:rPr>
                    <w:t>视频展台</w:t>
                  </w:r>
                </w:p>
              </w:tc>
              <w:tc>
                <w:tcPr>
                  <w:tcW w:type="dxa" w:w="123"/>
                  <w:vMerge/>
                  <w:tcBorders>
                    <w:top w:val="none" w:color="000000" w:sz="4"/>
                    <w:left w:val="none" w:color="000000" w:sz="4"/>
                    <w:bottom w:val="outset" w:color="000000" w:sz="4"/>
                    <w:right w:val="single" w:color="000000" w:sz="4"/>
                  </w:tcBorders>
                </w:tcPr>
                <w:p/>
              </w:tc>
              <w:tc>
                <w:tcPr>
                  <w:tcW w:type="dxa" w:w="99"/>
                  <w:vMerge/>
                  <w:tcBorders>
                    <w:top w:val="none" w:color="000000" w:sz="4"/>
                    <w:left w:val="none" w:color="000000" w:sz="4"/>
                    <w:bottom w:val="outset" w:color="000000" w:sz="4"/>
                    <w:right w:val="single" w:color="000000" w:sz="4"/>
                  </w:tcBorders>
                </w:tcPr>
                <w:p/>
              </w:tc>
              <w:tc>
                <w:tcPr>
                  <w:tcW w:type="dxa" w:w="1301"/>
                  <w:gridSpan w:val="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0"/>
                      <w:color w:val="000000"/>
                    </w:rPr>
                    <w:t>1、采用USB方式供电，支持壁挂和桌面两种安装方式，采用ABS材质；</w:t>
                  </w:r>
                  <w:r>
                    <w:br/>
                  </w:r>
                  <w:r>
                    <w:rPr>
                      <w:rFonts w:ascii="仿宋_GB2312" w:hAnsi="仿宋_GB2312" w:cs="仿宋_GB2312" w:eastAsia="仿宋_GB2312"/>
                      <w:sz w:val="20"/>
                      <w:color w:val="000000"/>
                    </w:rPr>
                    <w:t>2. ▲采用高清摄像头设计，不小于1600万像素；</w:t>
                  </w:r>
                  <w:r>
                    <w:br/>
                  </w:r>
                  <w:r>
                    <w:rPr>
                      <w:rFonts w:ascii="仿宋_GB2312" w:hAnsi="仿宋_GB2312" w:cs="仿宋_GB2312" w:eastAsia="仿宋_GB2312"/>
                      <w:sz w:val="20"/>
                      <w:color w:val="000000"/>
                    </w:rPr>
                    <w:t>3. 采用12倍数字变焦；</w:t>
                  </w:r>
                  <w:r>
                    <w:br/>
                  </w:r>
                  <w:r>
                    <w:rPr>
                      <w:rFonts w:ascii="仿宋_GB2312" w:hAnsi="仿宋_GB2312" w:cs="仿宋_GB2312" w:eastAsia="仿宋_GB2312"/>
                      <w:sz w:val="20"/>
                      <w:color w:val="000000"/>
                    </w:rPr>
                    <w:t>4. 拍摄幅面≥A4；</w:t>
                  </w:r>
                  <w:r>
                    <w:br/>
                  </w:r>
                  <w:r>
                    <w:rPr>
                      <w:rFonts w:ascii="仿宋_GB2312" w:hAnsi="仿宋_GB2312" w:cs="仿宋_GB2312" w:eastAsia="仿宋_GB2312"/>
                      <w:sz w:val="20"/>
                      <w:color w:val="000000"/>
                    </w:rPr>
                    <w:t>5. 图像色彩≥24位；</w:t>
                  </w:r>
                  <w:r>
                    <w:br/>
                  </w:r>
                  <w:r>
                    <w:rPr>
                      <w:rFonts w:ascii="仿宋_GB2312" w:hAnsi="仿宋_GB2312" w:cs="仿宋_GB2312" w:eastAsia="仿宋_GB2312"/>
                      <w:sz w:val="20"/>
                      <w:color w:val="000000"/>
                    </w:rPr>
                    <w:t>6. 光源补偿≥LED五级光源补偿；</w:t>
                  </w:r>
                  <w:r>
                    <w:br/>
                  </w:r>
                  <w:r>
                    <w:rPr>
                      <w:rFonts w:ascii="仿宋_GB2312" w:hAnsi="仿宋_GB2312" w:cs="仿宋_GB2312" w:eastAsia="仿宋_GB2312"/>
                      <w:sz w:val="20"/>
                      <w:color w:val="000000"/>
                    </w:rPr>
                    <w:t>7. 支持实时教学内容展示，支持批注、缩放、旋转、保存分享、拍照、连拍等操作；</w:t>
                  </w:r>
                  <w:r>
                    <w:br/>
                  </w:r>
                  <w:r>
                    <w:rPr>
                      <w:rFonts w:ascii="仿宋_GB2312" w:hAnsi="仿宋_GB2312" w:cs="仿宋_GB2312" w:eastAsia="仿宋_GB2312"/>
                      <w:sz w:val="20"/>
                      <w:color w:val="000000"/>
                    </w:rPr>
                    <w:t>8. 为增强文字显示对比度，具备AI拍照的功能，并可根据用户的实际使用需求开启或关闭；</w:t>
                  </w:r>
                  <w:r>
                    <w:br/>
                  </w:r>
                  <w:r>
                    <w:rPr>
                      <w:rFonts w:ascii="仿宋_GB2312" w:hAnsi="仿宋_GB2312" w:cs="仿宋_GB2312" w:eastAsia="仿宋_GB2312"/>
                      <w:sz w:val="20"/>
                      <w:color w:val="000000"/>
                    </w:rPr>
                    <w:t>9. 同屏对比支持多图联动缩放和单图缩放两种模式，并支持至少四张图片同屏对比，可在任意区域内批注书写，不局限于显示区域内批注书写，并可对单张图片进行旋转、全屏、缩放、删除等操作；</w:t>
                  </w:r>
                  <w:r>
                    <w:br/>
                  </w:r>
                  <w:r>
                    <w:rPr>
                      <w:rFonts w:ascii="仿宋_GB2312" w:hAnsi="仿宋_GB2312" w:cs="仿宋_GB2312" w:eastAsia="仿宋_GB2312"/>
                      <w:sz w:val="20"/>
                      <w:color w:val="000000"/>
                    </w:rPr>
                    <w:t>10. 为增强文字显示对比度，具备AI拍照的功能，并可根据用户的实际使用需求开启或关闭；</w:t>
                  </w:r>
                  <w:r>
                    <w:br/>
                  </w:r>
                  <w:r>
                    <w:rPr>
                      <w:rFonts w:ascii="仿宋_GB2312" w:hAnsi="仿宋_GB2312" w:cs="仿宋_GB2312" w:eastAsia="仿宋_GB2312"/>
                      <w:sz w:val="20"/>
                      <w:color w:val="000000"/>
                    </w:rPr>
                    <w:t>11. 可支持5指长按屏幕实现漫游，手背擦出，两指捏合放大缩小等多种手势操作，方便用户使用。</w:t>
                  </w:r>
                </w:p>
              </w:tc>
            </w:tr>
            <w:tr>
              <w:tc>
                <w:tcPr>
                  <w:tcW w:type="dxa" w:w="88"/>
                  <w:vMerge/>
                  <w:tcBorders>
                    <w:top w:val="none" w:color="000000" w:sz="4"/>
                    <w:left w:val="single" w:color="000000" w:sz="4"/>
                    <w:bottom w:val="outset" w:color="000000" w:sz="4"/>
                    <w:right w:val="single" w:color="000000" w:sz="4"/>
                  </w:tcBorders>
                </w:tcPr>
                <w:p/>
              </w:tc>
              <w:tc>
                <w:tcPr>
                  <w:tcW w:type="dxa" w:w="1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color w:val="000000"/>
                    </w:rPr>
                    <w:t>系统集成安装辅材</w:t>
                  </w:r>
                </w:p>
              </w:tc>
              <w:tc>
                <w:tcPr>
                  <w:tcW w:type="dxa" w:w="123"/>
                  <w:vMerge/>
                  <w:tcBorders>
                    <w:top w:val="none" w:color="000000" w:sz="4"/>
                    <w:left w:val="none" w:color="000000" w:sz="4"/>
                    <w:bottom w:val="outset" w:color="000000" w:sz="4"/>
                    <w:right w:val="single" w:color="000000" w:sz="4"/>
                  </w:tcBorders>
                </w:tcPr>
                <w:p/>
              </w:tc>
              <w:tc>
                <w:tcPr>
                  <w:tcW w:type="dxa" w:w="99"/>
                  <w:vMerge/>
                  <w:tcBorders>
                    <w:top w:val="none" w:color="000000" w:sz="4"/>
                    <w:left w:val="none" w:color="000000" w:sz="4"/>
                    <w:bottom w:val="outset" w:color="000000" w:sz="4"/>
                    <w:right w:val="single" w:color="000000" w:sz="4"/>
                  </w:tcBorders>
                </w:tcPr>
                <w:p/>
              </w:tc>
              <w:tc>
                <w:tcPr>
                  <w:tcW w:type="dxa" w:w="1301"/>
                  <w:gridSpan w:val="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0"/>
                      <w:color w:val="000000"/>
                    </w:rPr>
                    <w:t>符合国家标准的铜线，负载满足要求，电源线、水晶头、六类网线：符合国家标准，满足传输要求；电源插座符合国家标准，满足连接需求；金属或塑料线槽及扣条，符合国家安全标准，所有线路按需加以钢制和</w:t>
                  </w:r>
                  <w:r>
                    <w:rPr>
                      <w:rFonts w:ascii="仿宋_GB2312" w:hAnsi="仿宋_GB2312" w:cs="仿宋_GB2312" w:eastAsia="仿宋_GB2312"/>
                      <w:sz w:val="20"/>
                      <w:color w:val="000000"/>
                    </w:rPr>
                    <w:t>PVC 线槽保护；以上线缆、管材等辅材，均要求用知名品牌优质材料。施工依照综合布线标准设计要具有高扩展性、灵活性、先进性、可管理性。</w:t>
                  </w:r>
                  <w:r>
                    <w:br/>
                  </w:r>
                  <w:r>
                    <w:rPr>
                      <w:rFonts w:ascii="仿宋_GB2312" w:hAnsi="仿宋_GB2312" w:cs="仿宋_GB2312" w:eastAsia="仿宋_GB2312"/>
                      <w:sz w:val="20"/>
                      <w:color w:val="000000"/>
                    </w:rPr>
                    <w:t>注：保证所有产品安装后直接投入使用。</w:t>
                  </w:r>
                </w:p>
              </w:tc>
            </w:tr>
            <w:tr>
              <w:tc>
                <w:tcPr>
                  <w:tcW w:type="dxa" w:w="8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color w:val="000000"/>
                    </w:rPr>
                    <w:t>2</w:t>
                  </w:r>
                </w:p>
              </w:tc>
              <w:tc>
                <w:tcPr>
                  <w:tcW w:type="dxa" w:w="1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color w:val="000000"/>
                    </w:rPr>
                    <w:t>空调</w:t>
                  </w:r>
                </w:p>
              </w:tc>
              <w:tc>
                <w:tcPr>
                  <w:tcW w:type="dxa" w:w="12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color w:val="000000"/>
                    </w:rPr>
                    <w:t>24</w:t>
                  </w:r>
                </w:p>
              </w:tc>
              <w:tc>
                <w:tcPr>
                  <w:tcW w:type="dxa" w:w="9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color w:val="000000"/>
                    </w:rPr>
                    <w:t>套</w:t>
                  </w:r>
                </w:p>
              </w:tc>
              <w:tc>
                <w:tcPr>
                  <w:tcW w:type="dxa" w:w="1301"/>
                  <w:gridSpan w:val="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0"/>
                      <w:color w:val="000000"/>
                    </w:rPr>
                    <w:t>1、电源220V~50Hz</w:t>
                  </w:r>
                  <w:r>
                    <w:br/>
                  </w:r>
                  <w:r>
                    <w:rPr>
                      <w:rFonts w:ascii="仿宋_GB2312" w:hAnsi="仿宋_GB2312" w:cs="仿宋_GB2312" w:eastAsia="仿宋_GB2312"/>
                      <w:sz w:val="20"/>
                      <w:color w:val="000000"/>
                    </w:rPr>
                    <w:t>2、能效等级不劣于3级</w:t>
                  </w:r>
                  <w:r>
                    <w:br/>
                  </w:r>
                  <w:r>
                    <w:rPr>
                      <w:rFonts w:ascii="仿宋_GB2312" w:hAnsi="仿宋_GB2312" w:cs="仿宋_GB2312" w:eastAsia="仿宋_GB2312"/>
                      <w:sz w:val="20"/>
                      <w:color w:val="000000"/>
                    </w:rPr>
                    <w:t>▲3、制冷量(W)≥3500</w:t>
                  </w:r>
                  <w:r>
                    <w:br/>
                  </w:r>
                  <w:r>
                    <w:rPr>
                      <w:rFonts w:ascii="仿宋_GB2312" w:hAnsi="仿宋_GB2312" w:cs="仿宋_GB2312" w:eastAsia="仿宋_GB2312"/>
                      <w:sz w:val="20"/>
                      <w:color w:val="000000"/>
                    </w:rPr>
                    <w:t>▲4、制热量(W)≥4600</w:t>
                  </w:r>
                  <w:r>
                    <w:br/>
                  </w:r>
                  <w:r>
                    <w:rPr>
                      <w:rFonts w:ascii="仿宋_GB2312" w:hAnsi="仿宋_GB2312" w:cs="仿宋_GB2312" w:eastAsia="仿宋_GB2312"/>
                      <w:sz w:val="20"/>
                      <w:color w:val="000000"/>
                    </w:rPr>
                    <w:t>5、制冷功率(W) ≤980</w:t>
                  </w:r>
                  <w:r>
                    <w:br/>
                  </w:r>
                  <w:r>
                    <w:rPr>
                      <w:rFonts w:ascii="仿宋_GB2312" w:hAnsi="仿宋_GB2312" w:cs="仿宋_GB2312" w:eastAsia="仿宋_GB2312"/>
                      <w:sz w:val="20"/>
                      <w:color w:val="000000"/>
                    </w:rPr>
                    <w:t>6、制热功率(W) ≤1300</w:t>
                  </w:r>
                  <w:r>
                    <w:br/>
                  </w:r>
                  <w:r>
                    <w:rPr>
                      <w:rFonts w:ascii="仿宋_GB2312" w:hAnsi="仿宋_GB2312" w:cs="仿宋_GB2312" w:eastAsia="仿宋_GB2312"/>
                      <w:sz w:val="20"/>
                      <w:color w:val="000000"/>
                    </w:rPr>
                    <w:t>▲7、辅助电热功率(W)≥1050</w:t>
                  </w:r>
                  <w:r>
                    <w:br/>
                  </w:r>
                  <w:r>
                    <w:rPr>
                      <w:rFonts w:ascii="仿宋_GB2312" w:hAnsi="仿宋_GB2312" w:cs="仿宋_GB2312" w:eastAsia="仿宋_GB2312"/>
                      <w:sz w:val="20"/>
                      <w:color w:val="000000"/>
                    </w:rPr>
                    <w:t>▲8、循环风量(m3/h)≥650</w:t>
                  </w:r>
                  <w:r>
                    <w:br/>
                  </w:r>
                  <w:r>
                    <w:rPr>
                      <w:rFonts w:ascii="仿宋_GB2312" w:hAnsi="仿宋_GB2312" w:cs="仿宋_GB2312" w:eastAsia="仿宋_GB2312"/>
                      <w:sz w:val="20"/>
                      <w:color w:val="000000"/>
                    </w:rPr>
                    <w:t>9、噪声dB(A):室内机噪音≤超强45，室外机噪音≤50</w:t>
                  </w:r>
                </w:p>
              </w:tc>
              <w:tc>
                <w:tcPr>
                  <w:tcW w:type="dxa" w:w="9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color w:val="000000"/>
                    </w:rPr>
                    <w:t>工业</w:t>
                  </w:r>
                </w:p>
              </w:tc>
            </w:tr>
            <w:tr>
              <w:tc>
                <w:tcPr>
                  <w:tcW w:type="dxa" w:w="8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color w:val="000000"/>
                    </w:rPr>
                    <w:t>3</w:t>
                  </w:r>
                </w:p>
              </w:tc>
              <w:tc>
                <w:tcPr>
                  <w:tcW w:type="dxa" w:w="1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color w:val="000000"/>
                    </w:rPr>
                    <w:t>后黑板</w:t>
                  </w:r>
                </w:p>
              </w:tc>
              <w:tc>
                <w:tcPr>
                  <w:tcW w:type="dxa" w:w="12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color w:val="000000"/>
                    </w:rPr>
                    <w:t>12</w:t>
                  </w:r>
                </w:p>
              </w:tc>
              <w:tc>
                <w:tcPr>
                  <w:tcW w:type="dxa" w:w="9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color w:val="000000"/>
                    </w:rPr>
                    <w:t>套</w:t>
                  </w:r>
                </w:p>
              </w:tc>
              <w:tc>
                <w:tcPr>
                  <w:tcW w:type="dxa" w:w="1301"/>
                  <w:gridSpan w:val="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0"/>
                      <w:color w:val="000000"/>
                    </w:rPr>
                    <w:t>1.参考规格：整板外框尺寸长宽不小于4200mm*1200mm</w:t>
                  </w:r>
                </w:p>
                <w:p>
                  <w:pPr>
                    <w:pStyle w:val="null3"/>
                    <w:jc w:val="left"/>
                  </w:pPr>
                  <w:r>
                    <w:rPr>
                      <w:rFonts w:ascii="仿宋_GB2312" w:hAnsi="仿宋_GB2312" w:cs="仿宋_GB2312" w:eastAsia="仿宋_GB2312"/>
                      <w:sz w:val="20"/>
                      <w:color w:val="000000"/>
                    </w:rPr>
                    <w:t>2.产品结构：平面固定黑板。</w:t>
                  </w:r>
                  <w:r>
                    <w:br/>
                  </w:r>
                  <w:r>
                    <w:rPr>
                      <w:rFonts w:ascii="仿宋_GB2312" w:hAnsi="仿宋_GB2312" w:cs="仿宋_GB2312" w:eastAsia="仿宋_GB2312"/>
                      <w:sz w:val="20"/>
                      <w:color w:val="000000"/>
                    </w:rPr>
                    <w:t>3.防尘技术：墨绿色亚光板面，采用粉笔书写。</w:t>
                  </w:r>
                  <w:r>
                    <w:br/>
                  </w:r>
                  <w:r>
                    <w:rPr>
                      <w:rFonts w:ascii="仿宋_GB2312" w:hAnsi="仿宋_GB2312" w:cs="仿宋_GB2312" w:eastAsia="仿宋_GB2312"/>
                      <w:sz w:val="20"/>
                      <w:color w:val="000000"/>
                    </w:rPr>
                    <w:t>4.板面厚度约0.27mm（±0.05mm），涂层为约25um，丝硬度9H。表面附着墨绿色涂层、无裂纹、无流痕、无气泡等缺陷、细腻平整、擦后无残留、耐磨损、耐腐蚀、色调柔和、学生任何角度都能正常观看，符合GB21027-2007《学生用品的安全通用要求》，GB6675.4-2014《玩具安全 第四部分：特定元素的迁移》；</w:t>
                  </w:r>
                  <w:r>
                    <w:br/>
                  </w:r>
                  <w:r>
                    <w:rPr>
                      <w:rFonts w:ascii="仿宋_GB2312" w:hAnsi="仿宋_GB2312" w:cs="仿宋_GB2312" w:eastAsia="仿宋_GB2312"/>
                      <w:sz w:val="20"/>
                      <w:color w:val="000000"/>
                    </w:rPr>
                    <w:t>6.夹层材料：夹层厚度为≥16mm,防潮、吸音、高强度聚苯乙烯泡沫板，容重≥25KG/M³。</w:t>
                  </w:r>
                  <w:r>
                    <w:br/>
                  </w:r>
                  <w:r>
                    <w:rPr>
                      <w:rFonts w:ascii="仿宋_GB2312" w:hAnsi="仿宋_GB2312" w:cs="仿宋_GB2312" w:eastAsia="仿宋_GB2312"/>
                      <w:sz w:val="20"/>
                      <w:color w:val="000000"/>
                    </w:rPr>
                    <w:t>7.背板：采用优质彩钢板，采用厚度≥0.27mmSGCC镀锌钢板，板面平整，镀层牢固；</w:t>
                  </w:r>
                  <w:r>
                    <w:br/>
                  </w:r>
                  <w:r>
                    <w:rPr>
                      <w:rFonts w:ascii="仿宋_GB2312" w:hAnsi="仿宋_GB2312" w:cs="仿宋_GB2312" w:eastAsia="仿宋_GB2312"/>
                      <w:sz w:val="20"/>
                      <w:color w:val="000000"/>
                    </w:rPr>
                    <w:t>8.白板四角与外框四角采用ABS防爆防老化抗疲劳的工程塑料，模具一次成型，抗冲击力强。</w:t>
                  </w:r>
                </w:p>
              </w:tc>
              <w:tc>
                <w:tcPr>
                  <w:tcW w:type="dxa" w:w="9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color w:val="000000"/>
                    </w:rPr>
                    <w:t>工业</w:t>
                  </w:r>
                </w:p>
              </w:tc>
            </w:tr>
            <w:tr>
              <w:tc>
                <w:tcPr>
                  <w:tcW w:type="dxa" w:w="8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color w:val="000000"/>
                    </w:rPr>
                    <w:t>4</w:t>
                  </w:r>
                </w:p>
              </w:tc>
              <w:tc>
                <w:tcPr>
                  <w:tcW w:type="dxa" w:w="1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color w:val="000000"/>
                    </w:rPr>
                    <w:t>地台</w:t>
                  </w:r>
                </w:p>
              </w:tc>
              <w:tc>
                <w:tcPr>
                  <w:tcW w:type="dxa" w:w="12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color w:val="000000"/>
                    </w:rPr>
                    <w:t>12</w:t>
                  </w:r>
                </w:p>
              </w:tc>
              <w:tc>
                <w:tcPr>
                  <w:tcW w:type="dxa" w:w="9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color w:val="000000"/>
                    </w:rPr>
                    <w:t>套</w:t>
                  </w:r>
                </w:p>
              </w:tc>
              <w:tc>
                <w:tcPr>
                  <w:tcW w:type="dxa" w:w="1301"/>
                  <w:gridSpan w:val="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0"/>
                      <w:color w:val="000000"/>
                    </w:rPr>
                    <w:t>参考规格：长</w:t>
                  </w:r>
                  <w:r>
                    <w:rPr>
                      <w:rFonts w:ascii="仿宋_GB2312" w:hAnsi="仿宋_GB2312" w:cs="仿宋_GB2312" w:eastAsia="仿宋_GB2312"/>
                      <w:sz w:val="20"/>
                      <w:color w:val="000000"/>
                    </w:rPr>
                    <w:t>6000mm*宽900mm*高150mm</w:t>
                  </w:r>
                  <w:r>
                    <w:br/>
                  </w:r>
                  <w:r>
                    <w:rPr>
                      <w:rFonts w:ascii="仿宋_GB2312" w:hAnsi="仿宋_GB2312" w:cs="仿宋_GB2312" w:eastAsia="仿宋_GB2312"/>
                      <w:sz w:val="20"/>
                      <w:color w:val="000000"/>
                    </w:rPr>
                    <w:t>1.表面为多层实木复合地板，厚度约1.4厘米。底板为多层板，厚度约1.5厘米。</w:t>
                  </w:r>
                  <w:r>
                    <w:br/>
                  </w:r>
                  <w:r>
                    <w:rPr>
                      <w:rFonts w:ascii="仿宋_GB2312" w:hAnsi="仿宋_GB2312" w:cs="仿宋_GB2312" w:eastAsia="仿宋_GB2312"/>
                      <w:sz w:val="20"/>
                      <w:color w:val="000000"/>
                    </w:rPr>
                    <w:t>2.龙骨为镀锌方管钢制龙骨，2.5*2.5厘米，</w:t>
                  </w:r>
                  <w:r>
                    <w:br/>
                  </w:r>
                  <w:r>
                    <w:rPr>
                      <w:rFonts w:ascii="仿宋_GB2312" w:hAnsi="仿宋_GB2312" w:cs="仿宋_GB2312" w:eastAsia="仿宋_GB2312"/>
                      <w:sz w:val="20"/>
                      <w:color w:val="000000"/>
                    </w:rPr>
                    <w:t>3.边框为铝合金边框3*3厘米，颜色是金色，护角弧形护角有效防止磕碰，起到保护作用。</w:t>
                  </w:r>
                </w:p>
              </w:tc>
              <w:tc>
                <w:tcPr>
                  <w:tcW w:type="dxa" w:w="9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color w:val="000000"/>
                    </w:rPr>
                    <w:t>工业</w:t>
                  </w:r>
                </w:p>
              </w:tc>
            </w:tr>
            <w:tr>
              <w:tc>
                <w:tcPr>
                  <w:tcW w:type="dxa" w:w="8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color w:val="000000"/>
                    </w:rPr>
                    <w:t>5</w:t>
                  </w:r>
                </w:p>
              </w:tc>
              <w:tc>
                <w:tcPr>
                  <w:tcW w:type="dxa" w:w="1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color w:val="000000"/>
                    </w:rPr>
                    <w:t>讲桌</w:t>
                  </w:r>
                </w:p>
              </w:tc>
              <w:tc>
                <w:tcPr>
                  <w:tcW w:type="dxa" w:w="12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color w:val="000000"/>
                    </w:rPr>
                    <w:t>12</w:t>
                  </w:r>
                </w:p>
              </w:tc>
              <w:tc>
                <w:tcPr>
                  <w:tcW w:type="dxa" w:w="9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color w:val="000000"/>
                    </w:rPr>
                    <w:t>个</w:t>
                  </w:r>
                </w:p>
              </w:tc>
              <w:tc>
                <w:tcPr>
                  <w:tcW w:type="dxa" w:w="1301"/>
                  <w:gridSpan w:val="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0"/>
                      <w:color w:val="000000"/>
                    </w:rPr>
                    <w:t>1.参考规格：长1000*宽400*高1100mm</w:t>
                  </w:r>
                  <w:r>
                    <w:br/>
                  </w:r>
                  <w:r>
                    <w:rPr>
                      <w:rFonts w:ascii="仿宋_GB2312" w:hAnsi="仿宋_GB2312" w:cs="仿宋_GB2312" w:eastAsia="仿宋_GB2312"/>
                      <w:sz w:val="20"/>
                      <w:color w:val="000000"/>
                    </w:rPr>
                    <w:t>2.基材采用国标环保E1级及以上实木多层板，面板厚度≥25mm。其他辅板厚度约≥16mm（±0.5mm）.国标环保热溶pVc封边；</w:t>
                  </w:r>
                  <w:r>
                    <w:br/>
                  </w:r>
                  <w:r>
                    <w:rPr>
                      <w:rFonts w:ascii="仿宋_GB2312" w:hAnsi="仿宋_GB2312" w:cs="仿宋_GB2312" w:eastAsia="仿宋_GB2312"/>
                      <w:sz w:val="20"/>
                      <w:color w:val="000000"/>
                    </w:rPr>
                    <w:t>3.五金配件均采用国标产品。至少三节滑道锁具，开合次数≥5万次。门、抽屉推拉自如、间隙合理、均匀；</w:t>
                  </w:r>
                  <w:r>
                    <w:br/>
                  </w:r>
                  <w:r>
                    <w:rPr>
                      <w:rFonts w:ascii="仿宋_GB2312" w:hAnsi="仿宋_GB2312" w:cs="仿宋_GB2312" w:eastAsia="仿宋_GB2312"/>
                      <w:sz w:val="20"/>
                      <w:color w:val="000000"/>
                    </w:rPr>
                    <w:t>4.符合GB/T 3324-2008《木家具通用技术条件》、符合GB/T 10357.7-2013《家具力学性能试验桌类稳定性》、符合GB18580-2001《室内装饰装修材料人造板及其制品中甲醛释放限量》。</w:t>
                  </w:r>
                </w:p>
              </w:tc>
              <w:tc>
                <w:tcPr>
                  <w:tcW w:type="dxa" w:w="9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color w:val="000000"/>
                    </w:rPr>
                    <w:t>工业</w:t>
                  </w:r>
                </w:p>
              </w:tc>
            </w:tr>
            <w:tr>
              <w:tc>
                <w:tcPr>
                  <w:tcW w:type="dxa" w:w="8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color w:val="000000"/>
                    </w:rPr>
                    <w:t>6</w:t>
                  </w:r>
                </w:p>
              </w:tc>
              <w:tc>
                <w:tcPr>
                  <w:tcW w:type="dxa" w:w="1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color w:val="000000"/>
                    </w:rPr>
                    <w:t>门卫岗亭</w:t>
                  </w:r>
                </w:p>
              </w:tc>
              <w:tc>
                <w:tcPr>
                  <w:tcW w:type="dxa" w:w="12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color w:val="000000"/>
                    </w:rPr>
                    <w:t>1</w:t>
                  </w:r>
                </w:p>
              </w:tc>
              <w:tc>
                <w:tcPr>
                  <w:tcW w:type="dxa" w:w="9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color w:val="000000"/>
                    </w:rPr>
                    <w:t>套</w:t>
                  </w:r>
                </w:p>
              </w:tc>
              <w:tc>
                <w:tcPr>
                  <w:tcW w:type="dxa" w:w="1301"/>
                  <w:gridSpan w:val="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0"/>
                      <w:color w:val="000000"/>
                    </w:rPr>
                    <w:t>1.整体规格：2000(长)*3000(宽)×2650(高)mm，产品内部设有照明灯、电源、控开、漏电保护器等；</w:t>
                  </w:r>
                  <w:r>
                    <w:br/>
                  </w:r>
                  <w:r>
                    <w:rPr>
                      <w:rFonts w:ascii="仿宋_GB2312" w:hAnsi="仿宋_GB2312" w:cs="仿宋_GB2312" w:eastAsia="仿宋_GB2312"/>
                      <w:sz w:val="20"/>
                      <w:color w:val="000000"/>
                    </w:rPr>
                    <w:t>2.主体材料:</w:t>
                  </w:r>
                  <w:r>
                    <w:br/>
                  </w:r>
                  <w:r>
                    <w:rPr>
                      <w:rFonts w:ascii="仿宋_GB2312" w:hAnsi="仿宋_GB2312" w:cs="仿宋_GB2312" w:eastAsia="仿宋_GB2312"/>
                      <w:sz w:val="20"/>
                      <w:color w:val="000000"/>
                    </w:rPr>
                    <w:t>2.1整个岗亭的承重结构均为不锈钢框架型钢结构，主体骨架采用≥80*80*1.5mm扇行管及横管≥80*40*1.2mm不锈钢管整体焊接而成，符合国家标准，结构符合国家免检，吊装或铲装移动时，可保证产品牢固性，产品可保证15-20年使用。</w:t>
                  </w:r>
                  <w:r>
                    <w:br/>
                  </w:r>
                  <w:r>
                    <w:rPr>
                      <w:rFonts w:ascii="仿宋_GB2312" w:hAnsi="仿宋_GB2312" w:cs="仿宋_GB2312" w:eastAsia="仿宋_GB2312"/>
                      <w:sz w:val="20"/>
                      <w:color w:val="000000"/>
                    </w:rPr>
                    <w:t>外墙材料：封板外面采用</w:t>
                  </w:r>
                  <w:r>
                    <w:rPr>
                      <w:rFonts w:ascii="仿宋_GB2312" w:hAnsi="仿宋_GB2312" w:cs="仿宋_GB2312" w:eastAsia="仿宋_GB2312"/>
                      <w:sz w:val="20"/>
                      <w:color w:val="000000"/>
                    </w:rPr>
                    <w:t>≥1.0mm不锈钢板+15mm木板+3mm铝塑板合制而成；整体外墙三层制作，适应环境温度范围-15℃～60℃；冲水喷洗即可除尘，不褪色、不剥落；抗紫外线辐射和水汽酸碱侵蚀，不宜老化；具有韧性、不易损坏，隔音隔热性能强，抗外力冲击不易碎裂破损。</w:t>
                  </w:r>
                  <w:r>
                    <w:br/>
                  </w:r>
                  <w:r>
                    <w:rPr>
                      <w:rFonts w:ascii="仿宋_GB2312" w:hAnsi="仿宋_GB2312" w:cs="仿宋_GB2312" w:eastAsia="仿宋_GB2312"/>
                      <w:sz w:val="20"/>
                      <w:color w:val="000000"/>
                    </w:rPr>
                    <w:t>顶部；拉丝</w:t>
                  </w:r>
                  <w:r>
                    <w:rPr>
                      <w:rFonts w:ascii="仿宋_GB2312" w:hAnsi="仿宋_GB2312" w:cs="仿宋_GB2312" w:eastAsia="仿宋_GB2312"/>
                      <w:sz w:val="20"/>
                      <w:color w:val="000000"/>
                    </w:rPr>
                    <w:t>S202不锈钢板，采用≥1.0mm不锈钢折弯造型焊接而成，上部采用≥40*40*1.2镀锌管结构焊接，之后抛光打磨，顶层用≥1.0防锈镀锌板铺盖焊接，再使用中性、室温固化硅酮耐候胶密封，具有抗寒、隔热、防水功能，内部天花板采用PVC内吊顶，美观大方。</w:t>
                  </w:r>
                  <w:r>
                    <w:br/>
                  </w:r>
                  <w:r>
                    <w:rPr>
                      <w:rFonts w:ascii="仿宋_GB2312" w:hAnsi="仿宋_GB2312" w:cs="仿宋_GB2312" w:eastAsia="仿宋_GB2312"/>
                      <w:sz w:val="20"/>
                      <w:color w:val="000000"/>
                    </w:rPr>
                    <w:t>地板</w:t>
                  </w:r>
                  <w:r>
                    <w:rPr>
                      <w:rFonts w:ascii="仿宋_GB2312" w:hAnsi="仿宋_GB2312" w:cs="仿宋_GB2312" w:eastAsia="仿宋_GB2312"/>
                      <w:sz w:val="20"/>
                      <w:color w:val="000000"/>
                    </w:rPr>
                    <w:t>:≥30*30*1.5钢架结构+竹胶板，镀锌管型材钢架结构，#字焊接而成，上铺设厚15mm防水模板，表面耐磨防滑花纹板；具有结实耐用、美观、易保洁功能。</w:t>
                  </w:r>
                  <w:r>
                    <w:br/>
                  </w:r>
                  <w:r>
                    <w:rPr>
                      <w:rFonts w:ascii="仿宋_GB2312" w:hAnsi="仿宋_GB2312" w:cs="仿宋_GB2312" w:eastAsia="仿宋_GB2312"/>
                      <w:sz w:val="20"/>
                      <w:color w:val="000000"/>
                    </w:rPr>
                    <w:t>窗</w:t>
                  </w:r>
                  <w:r>
                    <w:rPr>
                      <w:rFonts w:ascii="仿宋_GB2312" w:hAnsi="仿宋_GB2312" w:cs="仿宋_GB2312" w:eastAsia="仿宋_GB2312"/>
                      <w:sz w:val="20"/>
                      <w:color w:val="000000"/>
                    </w:rPr>
                    <w:t>:优质不锈钢材料折弯成型焊接而成，打磨抛光，安装5mm玻璃。不锈钢窗S202不锈钢≥25x25管。</w:t>
                  </w:r>
                  <w:r>
                    <w:br/>
                  </w:r>
                  <w:r>
                    <w:rPr>
                      <w:rFonts w:ascii="仿宋_GB2312" w:hAnsi="仿宋_GB2312" w:cs="仿宋_GB2312" w:eastAsia="仿宋_GB2312"/>
                      <w:sz w:val="20"/>
                      <w:color w:val="000000"/>
                    </w:rPr>
                    <w:t>门：门采用不锈钢半玻璃门，安全性能高，</w:t>
                  </w:r>
                  <w:r>
                    <w:rPr>
                      <w:rFonts w:ascii="仿宋_GB2312" w:hAnsi="仿宋_GB2312" w:cs="仿宋_GB2312" w:eastAsia="仿宋_GB2312"/>
                      <w:sz w:val="20"/>
                      <w:color w:val="000000"/>
                    </w:rPr>
                    <w:t>S202不锈钢平开门≥38x38x1.5。</w:t>
                  </w:r>
                  <w:r>
                    <w:br/>
                  </w:r>
                  <w:r>
                    <w:rPr>
                      <w:rFonts w:ascii="仿宋_GB2312" w:hAnsi="仿宋_GB2312" w:cs="仿宋_GB2312" w:eastAsia="仿宋_GB2312"/>
                      <w:sz w:val="20"/>
                      <w:color w:val="000000"/>
                    </w:rPr>
                    <w:t>锁：不锈钢防盗门锁。</w:t>
                  </w:r>
                  <w:r>
                    <w:br/>
                  </w:r>
                  <w:r>
                    <w:rPr>
                      <w:rFonts w:ascii="仿宋_GB2312" w:hAnsi="仿宋_GB2312" w:cs="仿宋_GB2312" w:eastAsia="仿宋_GB2312"/>
                      <w:sz w:val="20"/>
                      <w:color w:val="000000"/>
                    </w:rPr>
                    <w:t>照明配电系统：</w:t>
                  </w:r>
                  <w:r>
                    <w:br/>
                  </w:r>
                  <w:r>
                    <w:rPr>
                      <w:rFonts w:ascii="仿宋_GB2312" w:hAnsi="仿宋_GB2312" w:cs="仿宋_GB2312" w:eastAsia="仿宋_GB2312"/>
                      <w:sz w:val="20"/>
                      <w:color w:val="000000"/>
                    </w:rPr>
                    <w:t>25W节能LDE吸顶灯，漏电开关一组，五孔电源插座两组，空调插座一组，4.0m2电线，各种电器应连接牢固，接触良好，绝缘可靠，标志清楚，整齐美观。</w:t>
                  </w:r>
                  <w:r>
                    <w:br/>
                  </w:r>
                  <w:r>
                    <w:rPr>
                      <w:rFonts w:ascii="仿宋_GB2312" w:hAnsi="仿宋_GB2312" w:cs="仿宋_GB2312" w:eastAsia="仿宋_GB2312"/>
                      <w:sz w:val="20"/>
                      <w:color w:val="000000"/>
                    </w:rPr>
                    <w:t>辅料：结构胶，氩气，氩焊丝，抛光材料等。</w:t>
                  </w:r>
                  <w:r>
                    <w:br/>
                  </w:r>
                  <w:r>
                    <w:rPr>
                      <w:rFonts w:ascii="仿宋_GB2312" w:hAnsi="仿宋_GB2312" w:cs="仿宋_GB2312" w:eastAsia="仿宋_GB2312"/>
                      <w:sz w:val="20"/>
                      <w:color w:val="000000"/>
                    </w:rPr>
                    <w:t>岗亭内配：工作台、照明、插座、空调插座、电源开关、暗敷电线、配电箱。</w:t>
                  </w:r>
                </w:p>
              </w:tc>
              <w:tc>
                <w:tcPr>
                  <w:tcW w:type="dxa" w:w="9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color w:val="000000"/>
                    </w:rPr>
                    <w:t>工业</w:t>
                  </w:r>
                </w:p>
              </w:tc>
            </w:tr>
            <w:tr>
              <w:tc>
                <w:tcPr>
                  <w:tcW w:type="dxa" w:w="8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color w:val="000000"/>
                    </w:rPr>
                    <w:t>7</w:t>
                  </w:r>
                </w:p>
              </w:tc>
              <w:tc>
                <w:tcPr>
                  <w:tcW w:type="dxa" w:w="1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color w:val="000000"/>
                    </w:rPr>
                    <w:t>连廊安装防护网</w:t>
                  </w:r>
                </w:p>
              </w:tc>
              <w:tc>
                <w:tcPr>
                  <w:tcW w:type="dxa" w:w="12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color w:val="000000"/>
                    </w:rPr>
                    <w:t>170</w:t>
                  </w:r>
                </w:p>
              </w:tc>
              <w:tc>
                <w:tcPr>
                  <w:tcW w:type="dxa" w:w="9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color w:val="000000"/>
                    </w:rPr>
                    <w:t>平方</w:t>
                  </w:r>
                </w:p>
              </w:tc>
              <w:tc>
                <w:tcPr>
                  <w:tcW w:type="dxa" w:w="1301"/>
                  <w:gridSpan w:val="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0"/>
                      <w:color w:val="000000"/>
                    </w:rPr>
                    <w:t>规格：</w:t>
                  </w:r>
                  <w:r>
                    <w:rPr>
                      <w:rFonts w:ascii="仿宋_GB2312" w:hAnsi="仿宋_GB2312" w:cs="仿宋_GB2312" w:eastAsia="仿宋_GB2312"/>
                      <w:sz w:val="20"/>
                      <w:color w:val="000000"/>
                    </w:rPr>
                    <w:t>316不锈钢≥2.5钢丝+特厚1.2轨道，竖钢丝的间距约5.5公分，加强横线两条。</w:t>
                  </w:r>
                  <w:r>
                    <w:br/>
                  </w:r>
                  <w:r>
                    <w:rPr>
                      <w:rFonts w:ascii="仿宋_GB2312" w:hAnsi="仿宋_GB2312" w:cs="仿宋_GB2312" w:eastAsia="仿宋_GB2312"/>
                      <w:sz w:val="20"/>
                      <w:color w:val="000000"/>
                    </w:rPr>
                    <w:t>材质说明：</w:t>
                  </w:r>
                  <w:r>
                    <w:rPr>
                      <w:rFonts w:ascii="仿宋_GB2312" w:hAnsi="仿宋_GB2312" w:cs="仿宋_GB2312" w:eastAsia="仿宋_GB2312"/>
                      <w:sz w:val="20"/>
                      <w:color w:val="000000"/>
                    </w:rPr>
                    <w:t>316不锈钢7*7=49股钢筋绳丝拧聚一起具有超强的耐腐性，耐热性,低温性和机械性，坚固基因钢丝抗拉强，不割手无毛刺，表面光滑无毛刺，采用Z字捻法，捻距22.2mm,公称抗拉强1370N/mm²。符合GB/T20118-2006的检测标准并提供质量证明书等证明材料。</w:t>
                  </w:r>
                </w:p>
              </w:tc>
              <w:tc>
                <w:tcPr>
                  <w:tcW w:type="dxa" w:w="9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color w:val="000000"/>
                    </w:rPr>
                    <w:t>工业</w:t>
                  </w:r>
                </w:p>
              </w:tc>
            </w:tr>
            <w:tr>
              <w:tc>
                <w:tcPr>
                  <w:tcW w:type="dxa" w:w="8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color w:val="000000"/>
                    </w:rPr>
                    <w:t>8</w:t>
                  </w:r>
                </w:p>
              </w:tc>
              <w:tc>
                <w:tcPr>
                  <w:tcW w:type="dxa" w:w="14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color w:val="000000"/>
                    </w:rPr>
                    <w:t>窗帘</w:t>
                  </w:r>
                </w:p>
              </w:tc>
              <w:tc>
                <w:tcPr>
                  <w:tcW w:type="dxa" w:w="12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color w:val="000000"/>
                    </w:rPr>
                    <w:t>58</w:t>
                  </w:r>
                </w:p>
              </w:tc>
              <w:tc>
                <w:tcPr>
                  <w:tcW w:type="dxa" w:w="9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color w:val="000000"/>
                    </w:rPr>
                    <w:t>套</w:t>
                  </w:r>
                </w:p>
              </w:tc>
              <w:tc>
                <w:tcPr>
                  <w:tcW w:type="dxa" w:w="1301"/>
                  <w:gridSpan w:val="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0"/>
                      <w:color w:val="000000"/>
                    </w:rPr>
                    <w:t>1.参考规格：长2700mm*宽4000mm</w:t>
                  </w:r>
                  <w:r>
                    <w:br/>
                  </w:r>
                  <w:r>
                    <w:rPr>
                      <w:rFonts w:ascii="仿宋_GB2312" w:hAnsi="仿宋_GB2312" w:cs="仿宋_GB2312" w:eastAsia="仿宋_GB2312"/>
                      <w:sz w:val="20"/>
                      <w:color w:val="000000"/>
                    </w:rPr>
                    <w:t>2.材质：涤纶(聚醋纤维)；</w:t>
                  </w:r>
                  <w:r>
                    <w:br/>
                  </w:r>
                  <w:r>
                    <w:rPr>
                      <w:rFonts w:ascii="仿宋_GB2312" w:hAnsi="仿宋_GB2312" w:cs="仿宋_GB2312" w:eastAsia="仿宋_GB2312"/>
                      <w:sz w:val="20"/>
                      <w:color w:val="000000"/>
                    </w:rPr>
                    <w:t>3.类别：罗马杆；</w:t>
                  </w:r>
                  <w:r>
                    <w:br/>
                  </w:r>
                  <w:r>
                    <w:rPr>
                      <w:rFonts w:ascii="仿宋_GB2312" w:hAnsi="仿宋_GB2312" w:cs="仿宋_GB2312" w:eastAsia="仿宋_GB2312"/>
                      <w:sz w:val="20"/>
                      <w:color w:val="000000"/>
                    </w:rPr>
                    <w:t>4.风格：简约风；</w:t>
                  </w:r>
                  <w:r>
                    <w:br/>
                  </w:r>
                  <w:r>
                    <w:rPr>
                      <w:rFonts w:ascii="仿宋_GB2312" w:hAnsi="仿宋_GB2312" w:cs="仿宋_GB2312" w:eastAsia="仿宋_GB2312"/>
                      <w:sz w:val="20"/>
                      <w:color w:val="000000"/>
                    </w:rPr>
                    <w:t>5.遮光度：全遮光90%以上。（备注：按学校实际需求调整，以满足学校要求。）</w:t>
                  </w:r>
                </w:p>
              </w:tc>
              <w:tc>
                <w:tcPr>
                  <w:tcW w:type="dxa" w:w="9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color w:val="000000"/>
                    </w:rPr>
                    <w:t>工业</w:t>
                  </w:r>
                </w:p>
              </w:tc>
            </w:tr>
            <w:tr>
              <w:tc>
                <w:tcPr>
                  <w:tcW w:type="dxa" w:w="88"/>
                  <w:vMerge w:val="restart"/>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color w:val="000000"/>
                    </w:rPr>
                    <w:t>9</w:t>
                  </w:r>
                </w:p>
              </w:tc>
              <w:tc>
                <w:tcPr>
                  <w:tcW w:type="dxa" w:w="149"/>
                  <w:vMerge w:val="restart"/>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color w:val="000000"/>
                    </w:rPr>
                    <w:t>教室国旗、学生守则等</w:t>
                  </w:r>
                </w:p>
              </w:tc>
              <w:tc>
                <w:tcPr>
                  <w:tcW w:type="dxa" w:w="12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color w:val="000000"/>
                    </w:rPr>
                    <w:t>国旗</w:t>
                  </w:r>
                </w:p>
              </w:tc>
              <w:tc>
                <w:tcPr>
                  <w:tcW w:type="dxa" w:w="9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color w:val="000000"/>
                    </w:rPr>
                    <w:t>20</w:t>
                  </w:r>
                </w:p>
              </w:tc>
              <w:tc>
                <w:tcPr>
                  <w:tcW w:type="dxa" w:w="19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color w:val="000000"/>
                    </w:rPr>
                    <w:t>个</w:t>
                  </w:r>
                </w:p>
              </w:tc>
              <w:tc>
                <w:tcPr>
                  <w:tcW w:type="dxa" w:w="110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0"/>
                      <w:color w:val="000000"/>
                    </w:rPr>
                    <w:t>教室国旗一共</w:t>
                  </w:r>
                  <w:r>
                    <w:rPr>
                      <w:rFonts w:ascii="仿宋_GB2312" w:hAnsi="仿宋_GB2312" w:cs="仿宋_GB2312" w:eastAsia="仿宋_GB2312"/>
                      <w:sz w:val="20"/>
                      <w:color w:val="000000"/>
                    </w:rPr>
                    <w:t>20个教室，尺寸：400*600mm，产品材质：3D立体彩印雪弗板，产品厚度：10mm，产品样式：立体墙贴，表面采用水晶膜喷绘打印画面清晰色彩丰富，雪弗板防水防潮，整体材质环保无异味亮度高，有光泽清洗方便，颜色：国旗红，数量：20个</w:t>
                  </w:r>
                </w:p>
              </w:tc>
              <w:tc>
                <w:tcPr>
                  <w:tcW w:type="dxa" w:w="99"/>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color w:val="000000"/>
                    </w:rPr>
                    <w:t>工业</w:t>
                  </w:r>
                </w:p>
              </w:tc>
            </w:tr>
            <w:tr>
              <w:tc>
                <w:tcPr>
                  <w:tcW w:type="dxa" w:w="88"/>
                  <w:vMerge/>
                  <w:tcBorders>
                    <w:top w:val="none" w:color="000000" w:sz="4"/>
                    <w:left w:val="single" w:color="000000" w:sz="4"/>
                    <w:bottom w:val="single" w:color="000000" w:sz="4"/>
                    <w:right w:val="single" w:color="000000" w:sz="4"/>
                  </w:tcBorders>
                </w:tcPr>
                <w:p/>
              </w:tc>
              <w:tc>
                <w:tcPr>
                  <w:tcW w:type="dxa" w:w="149"/>
                  <w:vMerge/>
                  <w:tcBorders>
                    <w:top w:val="none" w:color="000000" w:sz="4"/>
                    <w:left w:val="none" w:color="000000" w:sz="4"/>
                    <w:bottom w:val="single" w:color="000000" w:sz="4"/>
                    <w:right w:val="single" w:color="000000" w:sz="4"/>
                  </w:tcBorders>
                </w:tcPr>
                <w:p/>
              </w:tc>
              <w:tc>
                <w:tcPr>
                  <w:tcW w:type="dxa" w:w="12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color w:val="000000"/>
                    </w:rPr>
                    <w:t>学生守则</w:t>
                  </w:r>
                </w:p>
              </w:tc>
              <w:tc>
                <w:tcPr>
                  <w:tcW w:type="dxa" w:w="9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color w:val="000000"/>
                    </w:rPr>
                    <w:t>20</w:t>
                  </w:r>
                </w:p>
              </w:tc>
              <w:tc>
                <w:tcPr>
                  <w:tcW w:type="dxa" w:w="19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color w:val="000000"/>
                    </w:rPr>
                    <w:t>个</w:t>
                  </w:r>
                </w:p>
              </w:tc>
              <w:tc>
                <w:tcPr>
                  <w:tcW w:type="dxa" w:w="110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0"/>
                      <w:color w:val="000000"/>
                    </w:rPr>
                    <w:t>尺寸：</w:t>
                  </w:r>
                  <w:r>
                    <w:rPr>
                      <w:rFonts w:ascii="仿宋_GB2312" w:hAnsi="仿宋_GB2312" w:cs="仿宋_GB2312" w:eastAsia="仿宋_GB2312"/>
                      <w:sz w:val="20"/>
                      <w:color w:val="000000"/>
                    </w:rPr>
                    <w:t>60*90cm材质：覆膜防水5mmKT板+可开启铝型材边框，方便更换画面，质量要求高透高膜，高清印张，不起泡，不变形，边框颜色金银色可选。数量为20个</w:t>
                  </w:r>
                </w:p>
              </w:tc>
              <w:tc>
                <w:tcPr>
                  <w:tcW w:type="dxa" w:w="9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color w:val="000000"/>
                    </w:rPr>
                    <w:t>工业</w:t>
                  </w:r>
                </w:p>
              </w:tc>
            </w:tr>
            <w:tr>
              <w:tc>
                <w:tcPr>
                  <w:tcW w:type="dxa" w:w="88"/>
                  <w:vMerge/>
                  <w:tcBorders>
                    <w:top w:val="none" w:color="000000" w:sz="4"/>
                    <w:left w:val="single" w:color="000000" w:sz="4"/>
                    <w:bottom w:val="single" w:color="000000" w:sz="4"/>
                    <w:right w:val="single" w:color="000000" w:sz="4"/>
                  </w:tcBorders>
                </w:tcPr>
                <w:p/>
              </w:tc>
              <w:tc>
                <w:tcPr>
                  <w:tcW w:type="dxa" w:w="149"/>
                  <w:vMerge/>
                  <w:tcBorders>
                    <w:top w:val="none" w:color="000000" w:sz="4"/>
                    <w:left w:val="none" w:color="000000" w:sz="4"/>
                    <w:bottom w:val="single" w:color="000000" w:sz="4"/>
                    <w:right w:val="single" w:color="000000" w:sz="4"/>
                  </w:tcBorders>
                </w:tcPr>
                <w:p/>
              </w:tc>
              <w:tc>
                <w:tcPr>
                  <w:tcW w:type="dxa" w:w="12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color w:val="000000"/>
                    </w:rPr>
                    <w:t>班级班牌</w:t>
                  </w:r>
                </w:p>
              </w:tc>
              <w:tc>
                <w:tcPr>
                  <w:tcW w:type="dxa" w:w="9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color w:val="000000"/>
                    </w:rPr>
                    <w:t>20</w:t>
                  </w:r>
                </w:p>
              </w:tc>
              <w:tc>
                <w:tcPr>
                  <w:tcW w:type="dxa" w:w="19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color w:val="000000"/>
                    </w:rPr>
                    <w:t>个</w:t>
                  </w:r>
                </w:p>
              </w:tc>
              <w:tc>
                <w:tcPr>
                  <w:tcW w:type="dxa" w:w="110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0"/>
                      <w:color w:val="000000"/>
                    </w:rPr>
                    <w:t>尺寸：</w:t>
                  </w:r>
                  <w:r>
                    <w:rPr>
                      <w:rFonts w:ascii="仿宋_GB2312" w:hAnsi="仿宋_GB2312" w:cs="仿宋_GB2312" w:eastAsia="仿宋_GB2312"/>
                      <w:sz w:val="20"/>
                      <w:color w:val="000000"/>
                    </w:rPr>
                    <w:t>18*30cm材质：3mm透明亚克力背喷， 版面加厚设计结实耐用，加厚底座，安装牢固，自定义文字内容，多种颜色搭配，需搭配校园整体风格和采购人需求设计，以满足学校整体风格要求，数量为20个</w:t>
                  </w:r>
                </w:p>
              </w:tc>
              <w:tc>
                <w:tcPr>
                  <w:tcW w:type="dxa" w:w="9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color w:val="000000"/>
                    </w:rPr>
                    <w:t>工业</w:t>
                  </w:r>
                </w:p>
              </w:tc>
            </w:tr>
            <w:tr>
              <w:tc>
                <w:tcPr>
                  <w:tcW w:type="dxa" w:w="88"/>
                  <w:vMerge/>
                  <w:tcBorders>
                    <w:top w:val="none" w:color="000000" w:sz="4"/>
                    <w:left w:val="single" w:color="000000" w:sz="4"/>
                    <w:bottom w:val="single" w:color="000000" w:sz="4"/>
                    <w:right w:val="single" w:color="000000" w:sz="4"/>
                  </w:tcBorders>
                </w:tcPr>
                <w:p/>
              </w:tc>
              <w:tc>
                <w:tcPr>
                  <w:tcW w:type="dxa" w:w="149"/>
                  <w:vMerge/>
                  <w:tcBorders>
                    <w:top w:val="none" w:color="000000" w:sz="4"/>
                    <w:left w:val="none" w:color="000000" w:sz="4"/>
                    <w:bottom w:val="single" w:color="000000" w:sz="4"/>
                    <w:right w:val="single" w:color="000000" w:sz="4"/>
                  </w:tcBorders>
                </w:tcPr>
                <w:p/>
              </w:tc>
              <w:tc>
                <w:tcPr>
                  <w:tcW w:type="dxa" w:w="12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color w:val="000000"/>
                    </w:rPr>
                    <w:t>宣传标语</w:t>
                  </w:r>
                </w:p>
              </w:tc>
              <w:tc>
                <w:tcPr>
                  <w:tcW w:type="dxa" w:w="9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color w:val="000000"/>
                    </w:rPr>
                    <w:t>320</w:t>
                  </w:r>
                </w:p>
              </w:tc>
              <w:tc>
                <w:tcPr>
                  <w:tcW w:type="dxa" w:w="19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color w:val="000000"/>
                    </w:rPr>
                    <w:t>个</w:t>
                  </w:r>
                </w:p>
              </w:tc>
              <w:tc>
                <w:tcPr>
                  <w:tcW w:type="dxa" w:w="110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0"/>
                      <w:color w:val="000000"/>
                    </w:rPr>
                    <w:t>尺寸：</w:t>
                  </w:r>
                  <w:r>
                    <w:rPr>
                      <w:rFonts w:ascii="仿宋_GB2312" w:hAnsi="仿宋_GB2312" w:cs="仿宋_GB2312" w:eastAsia="仿宋_GB2312"/>
                      <w:sz w:val="20"/>
                      <w:color w:val="000000"/>
                    </w:rPr>
                    <w:t>35*35cm，材质：3mm透明亚克力背喷，版面加厚设计结实耐用，加厚底座，安装牢固，自定义文字内容，多种颜色搭配，需搭配校园整体风格和采购人需求设计，以满足学校整体风格要求， 数量为16个*20间教室</w:t>
                  </w:r>
                </w:p>
              </w:tc>
              <w:tc>
                <w:tcPr>
                  <w:tcW w:type="dxa" w:w="9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color w:val="000000"/>
                    </w:rPr>
                    <w:t>工业</w:t>
                  </w:r>
                </w:p>
              </w:tc>
            </w:tr>
            <w:tr>
              <w:tc>
                <w:tcPr>
                  <w:tcW w:type="dxa" w:w="88"/>
                  <w:vMerge/>
                  <w:tcBorders>
                    <w:top w:val="none" w:color="000000" w:sz="4"/>
                    <w:left w:val="single" w:color="000000" w:sz="4"/>
                    <w:bottom w:val="single" w:color="000000" w:sz="4"/>
                    <w:right w:val="single" w:color="000000" w:sz="4"/>
                  </w:tcBorders>
                </w:tcPr>
                <w:p/>
              </w:tc>
              <w:tc>
                <w:tcPr>
                  <w:tcW w:type="dxa" w:w="149"/>
                  <w:vMerge/>
                  <w:tcBorders>
                    <w:top w:val="none" w:color="000000" w:sz="4"/>
                    <w:left w:val="none" w:color="000000" w:sz="4"/>
                    <w:bottom w:val="single" w:color="000000" w:sz="4"/>
                    <w:right w:val="single" w:color="000000" w:sz="4"/>
                  </w:tcBorders>
                </w:tcPr>
                <w:p/>
              </w:tc>
              <w:tc>
                <w:tcPr>
                  <w:tcW w:type="dxa" w:w="12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color w:val="000000"/>
                    </w:rPr>
                    <w:t>引导牌</w:t>
                  </w:r>
                </w:p>
              </w:tc>
              <w:tc>
                <w:tcPr>
                  <w:tcW w:type="dxa" w:w="9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color w:val="000000"/>
                    </w:rPr>
                    <w:t>50</w:t>
                  </w:r>
                </w:p>
              </w:tc>
              <w:tc>
                <w:tcPr>
                  <w:tcW w:type="dxa" w:w="19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color w:val="000000"/>
                    </w:rPr>
                    <w:t>个</w:t>
                  </w:r>
                </w:p>
              </w:tc>
              <w:tc>
                <w:tcPr>
                  <w:tcW w:type="dxa" w:w="110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0"/>
                      <w:color w:val="000000"/>
                    </w:rPr>
                    <w:t>尺寸：</w:t>
                  </w:r>
                  <w:r>
                    <w:rPr>
                      <w:rFonts w:ascii="仿宋_GB2312" w:hAnsi="仿宋_GB2312" w:cs="仿宋_GB2312" w:eastAsia="仿宋_GB2312"/>
                      <w:sz w:val="20"/>
                      <w:color w:val="000000"/>
                    </w:rPr>
                    <w:t>40*25cm，不锈钢手杆60-80cm高，杆子直径约22mm可伸缩，便于收藏，加厚钢材，手举不摇晃，，双面展示。版面内容根据需求可设计， 数量为50个。</w:t>
                  </w:r>
                </w:p>
              </w:tc>
              <w:tc>
                <w:tcPr>
                  <w:tcW w:type="dxa" w:w="9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color w:val="000000"/>
                    </w:rPr>
                    <w:t>工业</w:t>
                  </w:r>
                </w:p>
              </w:tc>
            </w:tr>
            <w:tr>
              <w:tc>
                <w:tcPr>
                  <w:tcW w:type="dxa" w:w="88"/>
                  <w:vMerge/>
                  <w:tcBorders>
                    <w:top w:val="none" w:color="000000" w:sz="4"/>
                    <w:left w:val="single" w:color="000000" w:sz="4"/>
                    <w:bottom w:val="single" w:color="000000" w:sz="4"/>
                    <w:right w:val="single" w:color="000000" w:sz="4"/>
                  </w:tcBorders>
                </w:tcPr>
                <w:p/>
              </w:tc>
              <w:tc>
                <w:tcPr>
                  <w:tcW w:type="dxa" w:w="149"/>
                  <w:vMerge/>
                  <w:tcBorders>
                    <w:top w:val="none" w:color="000000" w:sz="4"/>
                    <w:left w:val="none" w:color="000000" w:sz="4"/>
                    <w:bottom w:val="single" w:color="000000" w:sz="4"/>
                    <w:right w:val="single" w:color="000000" w:sz="4"/>
                  </w:tcBorders>
                </w:tcPr>
                <w:p/>
              </w:tc>
              <w:tc>
                <w:tcPr>
                  <w:tcW w:type="dxa" w:w="12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color w:val="000000"/>
                    </w:rPr>
                    <w:t>作品展示墙</w:t>
                  </w:r>
                </w:p>
              </w:tc>
              <w:tc>
                <w:tcPr>
                  <w:tcW w:type="dxa" w:w="9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color w:val="000000"/>
                    </w:rPr>
                    <w:t>20</w:t>
                  </w:r>
                </w:p>
              </w:tc>
              <w:tc>
                <w:tcPr>
                  <w:tcW w:type="dxa" w:w="19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color w:val="000000"/>
                    </w:rPr>
                    <w:t>个</w:t>
                  </w:r>
                </w:p>
              </w:tc>
              <w:tc>
                <w:tcPr>
                  <w:tcW w:type="dxa" w:w="110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0"/>
                      <w:color w:val="000000"/>
                    </w:rPr>
                    <w:t>尺寸：</w:t>
                  </w:r>
                  <w:r>
                    <w:rPr>
                      <w:rFonts w:ascii="仿宋_GB2312" w:hAnsi="仿宋_GB2312" w:cs="仿宋_GB2312" w:eastAsia="仿宋_GB2312"/>
                      <w:sz w:val="20"/>
                      <w:color w:val="000000"/>
                    </w:rPr>
                    <w:t>60*330cm 材质：化纤毛毡，数量为20间教室，标准厚度9mm，颜色多选，特点：密度高，更加结实耐用，环保无异味，防潮不变形。可根据需求定制。</w:t>
                  </w:r>
                </w:p>
              </w:tc>
              <w:tc>
                <w:tcPr>
                  <w:tcW w:type="dxa" w:w="9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color w:val="000000"/>
                    </w:rPr>
                    <w:t>工业</w:t>
                  </w:r>
                </w:p>
              </w:tc>
            </w:tr>
            <w:tr>
              <w:tc>
                <w:tcPr>
                  <w:tcW w:type="dxa" w:w="88"/>
                  <w:vMerge/>
                  <w:tcBorders>
                    <w:top w:val="none" w:color="000000" w:sz="4"/>
                    <w:left w:val="single" w:color="000000" w:sz="4"/>
                    <w:bottom w:val="single" w:color="000000" w:sz="4"/>
                    <w:right w:val="single" w:color="000000" w:sz="4"/>
                  </w:tcBorders>
                </w:tcPr>
                <w:p/>
              </w:tc>
              <w:tc>
                <w:tcPr>
                  <w:tcW w:type="dxa" w:w="149"/>
                  <w:vMerge/>
                  <w:tcBorders>
                    <w:top w:val="none" w:color="000000" w:sz="4"/>
                    <w:left w:val="none" w:color="000000" w:sz="4"/>
                    <w:bottom w:val="single" w:color="000000" w:sz="4"/>
                    <w:right w:val="single" w:color="000000" w:sz="4"/>
                  </w:tcBorders>
                </w:tcPr>
                <w:p/>
              </w:tc>
              <w:tc>
                <w:tcPr>
                  <w:tcW w:type="dxa" w:w="12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color w:val="000000"/>
                    </w:rPr>
                    <w:t>班级荣誉</w:t>
                  </w:r>
                </w:p>
              </w:tc>
              <w:tc>
                <w:tcPr>
                  <w:tcW w:type="dxa" w:w="9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color w:val="000000"/>
                    </w:rPr>
                    <w:t>20</w:t>
                  </w:r>
                </w:p>
              </w:tc>
              <w:tc>
                <w:tcPr>
                  <w:tcW w:type="dxa" w:w="19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color w:val="000000"/>
                    </w:rPr>
                    <w:t>个</w:t>
                  </w:r>
                </w:p>
              </w:tc>
              <w:tc>
                <w:tcPr>
                  <w:tcW w:type="dxa" w:w="110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0"/>
                      <w:color w:val="000000"/>
                    </w:rPr>
                    <w:t>尺寸：</w:t>
                  </w:r>
                  <w:r>
                    <w:rPr>
                      <w:rFonts w:ascii="仿宋_GB2312" w:hAnsi="仿宋_GB2312" w:cs="仿宋_GB2312" w:eastAsia="仿宋_GB2312"/>
                      <w:sz w:val="20"/>
                      <w:color w:val="000000"/>
                    </w:rPr>
                    <w:t>100*100cm材质：化纤毛毡，数量为20间教室，标准厚度9mm，颜色多选，特点：密度高，更加结实耐用，环保无异味，防潮不变形。可根据需求定制。</w:t>
                  </w:r>
                </w:p>
              </w:tc>
              <w:tc>
                <w:tcPr>
                  <w:tcW w:type="dxa" w:w="9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color w:val="000000"/>
                    </w:rPr>
                    <w:t>工业</w:t>
                  </w:r>
                </w:p>
              </w:tc>
            </w:tr>
            <w:tr>
              <w:tc>
                <w:tcPr>
                  <w:tcW w:type="dxa" w:w="88"/>
                  <w:vMerge/>
                  <w:tcBorders>
                    <w:top w:val="none" w:color="000000" w:sz="4"/>
                    <w:left w:val="single" w:color="000000" w:sz="4"/>
                    <w:bottom w:val="single" w:color="000000" w:sz="4"/>
                    <w:right w:val="single" w:color="000000" w:sz="4"/>
                  </w:tcBorders>
                </w:tcPr>
                <w:p/>
              </w:tc>
              <w:tc>
                <w:tcPr>
                  <w:tcW w:type="dxa" w:w="149"/>
                  <w:vMerge/>
                  <w:tcBorders>
                    <w:top w:val="none" w:color="000000" w:sz="4"/>
                    <w:left w:val="none" w:color="000000" w:sz="4"/>
                    <w:bottom w:val="single" w:color="000000" w:sz="4"/>
                    <w:right w:val="single" w:color="000000" w:sz="4"/>
                  </w:tcBorders>
                </w:tcPr>
                <w:p/>
              </w:tc>
              <w:tc>
                <w:tcPr>
                  <w:tcW w:type="dxa" w:w="12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color w:val="000000"/>
                    </w:rPr>
                    <w:t>星光闪闪板</w:t>
                  </w:r>
                </w:p>
              </w:tc>
              <w:tc>
                <w:tcPr>
                  <w:tcW w:type="dxa" w:w="9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color w:val="000000"/>
                    </w:rPr>
                    <w:t>20</w:t>
                  </w:r>
                </w:p>
              </w:tc>
              <w:tc>
                <w:tcPr>
                  <w:tcW w:type="dxa" w:w="19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color w:val="000000"/>
                    </w:rPr>
                    <w:t>个</w:t>
                  </w:r>
                </w:p>
              </w:tc>
              <w:tc>
                <w:tcPr>
                  <w:tcW w:type="dxa" w:w="110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0"/>
                      <w:color w:val="000000"/>
                    </w:rPr>
                    <w:t>尺寸：</w:t>
                  </w:r>
                  <w:r>
                    <w:rPr>
                      <w:rFonts w:ascii="仿宋_GB2312" w:hAnsi="仿宋_GB2312" w:cs="仿宋_GB2312" w:eastAsia="仿宋_GB2312"/>
                      <w:sz w:val="20"/>
                      <w:color w:val="000000"/>
                    </w:rPr>
                    <w:t>46*65cm，材质：3mm透明亚克力背喷， 版面加厚设计结实耐用，安装牢固，自定义文字内容，多种颜色搭配，需搭配校园整体风格和采购人需求设计，以满足学校整体风格要求，数量为20间教室。</w:t>
                  </w:r>
                </w:p>
              </w:tc>
              <w:tc>
                <w:tcPr>
                  <w:tcW w:type="dxa" w:w="9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color w:val="000000"/>
                    </w:rPr>
                    <w:t>工业</w:t>
                  </w:r>
                </w:p>
              </w:tc>
            </w:tr>
            <w:tr>
              <w:tc>
                <w:tcPr>
                  <w:tcW w:type="dxa" w:w="88"/>
                  <w:vMerge/>
                  <w:tcBorders>
                    <w:top w:val="none" w:color="000000" w:sz="4"/>
                    <w:left w:val="single" w:color="000000" w:sz="4"/>
                    <w:bottom w:val="single" w:color="000000" w:sz="4"/>
                    <w:right w:val="single" w:color="000000" w:sz="4"/>
                  </w:tcBorders>
                </w:tcPr>
                <w:p/>
              </w:tc>
              <w:tc>
                <w:tcPr>
                  <w:tcW w:type="dxa" w:w="149"/>
                  <w:vMerge/>
                  <w:tcBorders>
                    <w:top w:val="none" w:color="000000" w:sz="4"/>
                    <w:left w:val="none" w:color="000000" w:sz="4"/>
                    <w:bottom w:val="single" w:color="000000" w:sz="4"/>
                    <w:right w:val="single" w:color="000000" w:sz="4"/>
                  </w:tcBorders>
                </w:tcPr>
                <w:p/>
              </w:tc>
              <w:tc>
                <w:tcPr>
                  <w:tcW w:type="dxa" w:w="12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color w:val="000000"/>
                    </w:rPr>
                    <w:t>班级公告栏</w:t>
                  </w:r>
                </w:p>
              </w:tc>
              <w:tc>
                <w:tcPr>
                  <w:tcW w:type="dxa" w:w="9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color w:val="000000"/>
                    </w:rPr>
                    <w:t>20</w:t>
                  </w:r>
                </w:p>
              </w:tc>
              <w:tc>
                <w:tcPr>
                  <w:tcW w:type="dxa" w:w="19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color w:val="000000"/>
                    </w:rPr>
                    <w:t>个</w:t>
                  </w:r>
                </w:p>
              </w:tc>
              <w:tc>
                <w:tcPr>
                  <w:tcW w:type="dxa" w:w="110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0"/>
                      <w:color w:val="000000"/>
                    </w:rPr>
                    <w:t>尺寸：</w:t>
                  </w:r>
                  <w:r>
                    <w:rPr>
                      <w:rFonts w:ascii="仿宋_GB2312" w:hAnsi="仿宋_GB2312" w:cs="仿宋_GB2312" w:eastAsia="仿宋_GB2312"/>
                      <w:sz w:val="20"/>
                      <w:color w:val="000000"/>
                    </w:rPr>
                    <w:t>46*65cm，材质：3mm透明亚克力背喷， 版面加厚设计结实耐用，安装牢固，自定义文字内容，多种颜色搭配，需搭配校园整体风格和采购人需求设计，以满足学校整体风格要求，数量为20间教室。</w:t>
                  </w:r>
                </w:p>
              </w:tc>
              <w:tc>
                <w:tcPr>
                  <w:tcW w:type="dxa" w:w="9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color w:val="000000"/>
                    </w:rPr>
                    <w:t>工业</w:t>
                  </w:r>
                </w:p>
              </w:tc>
            </w:tr>
            <w:tr>
              <w:tc>
                <w:tcPr>
                  <w:tcW w:type="dxa" w:w="88"/>
                  <w:vMerge/>
                  <w:tcBorders>
                    <w:top w:val="none" w:color="000000" w:sz="4"/>
                    <w:left w:val="single" w:color="000000" w:sz="4"/>
                    <w:bottom w:val="single" w:color="000000" w:sz="4"/>
                    <w:right w:val="single" w:color="000000" w:sz="4"/>
                  </w:tcBorders>
                </w:tcPr>
                <w:p/>
              </w:tc>
              <w:tc>
                <w:tcPr>
                  <w:tcW w:type="dxa" w:w="149"/>
                  <w:vMerge/>
                  <w:tcBorders>
                    <w:top w:val="none" w:color="000000" w:sz="4"/>
                    <w:left w:val="none" w:color="000000" w:sz="4"/>
                    <w:bottom w:val="single" w:color="000000" w:sz="4"/>
                    <w:right w:val="single" w:color="000000" w:sz="4"/>
                  </w:tcBorders>
                </w:tcPr>
                <w:p/>
              </w:tc>
              <w:tc>
                <w:tcPr>
                  <w:tcW w:type="dxa" w:w="12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color w:val="000000"/>
                    </w:rPr>
                    <w:t>安全指示牌</w:t>
                  </w:r>
                </w:p>
              </w:tc>
              <w:tc>
                <w:tcPr>
                  <w:tcW w:type="dxa" w:w="9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color w:val="000000"/>
                    </w:rPr>
                    <w:t>40</w:t>
                  </w:r>
                </w:p>
              </w:tc>
              <w:tc>
                <w:tcPr>
                  <w:tcW w:type="dxa" w:w="19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color w:val="000000"/>
                    </w:rPr>
                    <w:t>个</w:t>
                  </w:r>
                </w:p>
              </w:tc>
              <w:tc>
                <w:tcPr>
                  <w:tcW w:type="dxa" w:w="110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0"/>
                      <w:color w:val="000000"/>
                    </w:rPr>
                    <w:t>尺寸：</w:t>
                  </w:r>
                  <w:r>
                    <w:rPr>
                      <w:rFonts w:ascii="仿宋_GB2312" w:hAnsi="仿宋_GB2312" w:cs="仿宋_GB2312" w:eastAsia="仿宋_GB2312"/>
                      <w:sz w:val="20"/>
                      <w:color w:val="000000"/>
                    </w:rPr>
                    <w:t>35*50cm，材质：3mm透明亚克力背喷， 版面加厚设计结实耐用，安装牢固，自定义文字内容，多种颜色搭配，需搭配校园整体风格和采购人需求设计，以满足学校整体风格要求，数量为40个。</w:t>
                  </w:r>
                </w:p>
              </w:tc>
              <w:tc>
                <w:tcPr>
                  <w:tcW w:type="dxa" w:w="9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color w:val="000000"/>
                    </w:rPr>
                    <w:t>工业</w:t>
                  </w:r>
                </w:p>
              </w:tc>
            </w:tr>
            <w:tr>
              <w:tc>
                <w:tcPr>
                  <w:tcW w:type="dxa" w:w="88"/>
                  <w:vMerge/>
                  <w:tcBorders>
                    <w:top w:val="none" w:color="000000" w:sz="4"/>
                    <w:left w:val="single" w:color="000000" w:sz="4"/>
                    <w:bottom w:val="single" w:color="000000" w:sz="4"/>
                    <w:right w:val="single" w:color="000000" w:sz="4"/>
                  </w:tcBorders>
                </w:tcPr>
                <w:p/>
              </w:tc>
              <w:tc>
                <w:tcPr>
                  <w:tcW w:type="dxa" w:w="149"/>
                  <w:vMerge/>
                  <w:tcBorders>
                    <w:top w:val="none" w:color="000000" w:sz="4"/>
                    <w:left w:val="none" w:color="000000" w:sz="4"/>
                    <w:bottom w:val="single" w:color="000000" w:sz="4"/>
                    <w:right w:val="single" w:color="000000" w:sz="4"/>
                  </w:tcBorders>
                </w:tcPr>
                <w:p/>
              </w:tc>
              <w:tc>
                <w:tcPr>
                  <w:tcW w:type="dxa" w:w="12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color w:val="000000"/>
                    </w:rPr>
                    <w:t>设计及安装等</w:t>
                  </w:r>
                </w:p>
              </w:tc>
              <w:tc>
                <w:tcPr>
                  <w:tcW w:type="dxa" w:w="9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color w:val="000000"/>
                    </w:rPr>
                    <w:t>1</w:t>
                  </w:r>
                </w:p>
              </w:tc>
              <w:tc>
                <w:tcPr>
                  <w:tcW w:type="dxa" w:w="19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color w:val="000000"/>
                    </w:rPr>
                    <w:t>项</w:t>
                  </w:r>
                </w:p>
              </w:tc>
              <w:tc>
                <w:tcPr>
                  <w:tcW w:type="dxa" w:w="110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0"/>
                      <w:color w:val="000000"/>
                    </w:rPr>
                    <w:t>新增班级教室国旗学生守则等；班级混合，便于管理需要重新制作班级班牌、引导牌、安全指示牌等。需搭配学校整体风格及结合需方整体要求提报设计方案，直至需方确认方案，完成终稿，所有设计方案未确定加工前均提供免费修改服务直至需方满意，并且按照标准进行现场安装的实施。</w:t>
                  </w:r>
                </w:p>
              </w:tc>
              <w:tc>
                <w:tcPr>
                  <w:tcW w:type="dxa" w:w="99"/>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0"/>
                      <w:color w:val="000000"/>
                    </w:rPr>
                    <w:t>/</w:t>
                  </w:r>
                </w:p>
              </w:tc>
            </w:tr>
            <w:tr>
              <w:tc>
                <w:tcPr>
                  <w:tcW w:type="dxa" w:w="1859"/>
                  <w:gridSpan w:val="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both"/>
                  </w:pPr>
                  <w:r>
                    <w:rPr>
                      <w:rFonts w:ascii="仿宋_GB2312" w:hAnsi="仿宋_GB2312" w:cs="仿宋_GB2312" w:eastAsia="仿宋_GB2312"/>
                      <w:sz w:val="20"/>
                      <w:b/>
                      <w:color w:val="000000"/>
                    </w:rPr>
                    <w:t>注：根据行政事业单位设备配备相关标准要求，智慧黑板（包含</w:t>
                  </w:r>
                  <w:r>
                    <w:rPr>
                      <w:rFonts w:ascii="仿宋_GB2312" w:hAnsi="仿宋_GB2312" w:cs="仿宋_GB2312" w:eastAsia="仿宋_GB2312"/>
                      <w:sz w:val="21"/>
                      <w:b/>
                      <w:color w:val="000000"/>
                    </w:rPr>
                    <w:t>智慧黑板、白板软件、教学数据分析管理平台、视频展台、系统集成安装辅材</w:t>
                  </w:r>
                  <w:r>
                    <w:rPr>
                      <w:rFonts w:ascii="仿宋_GB2312" w:hAnsi="仿宋_GB2312" w:cs="仿宋_GB2312" w:eastAsia="仿宋_GB2312"/>
                      <w:sz w:val="20"/>
                      <w:b/>
                      <w:color w:val="000000"/>
                    </w:rPr>
                    <w:t>）最高限价</w:t>
                  </w:r>
                  <w:r>
                    <w:rPr>
                      <w:rFonts w:ascii="仿宋_GB2312" w:hAnsi="仿宋_GB2312" w:cs="仿宋_GB2312" w:eastAsia="仿宋_GB2312"/>
                      <w:sz w:val="20"/>
                      <w:b/>
                      <w:color w:val="000000"/>
                    </w:rPr>
                    <w:t>2</w:t>
                  </w:r>
                  <w:r>
                    <w:rPr>
                      <w:rFonts w:ascii="仿宋_GB2312" w:hAnsi="仿宋_GB2312" w:cs="仿宋_GB2312" w:eastAsia="仿宋_GB2312"/>
                      <w:sz w:val="20"/>
                      <w:b/>
                      <w:color w:val="000000"/>
                    </w:rPr>
                    <w:t>5</w:t>
                  </w:r>
                  <w:r>
                    <w:rPr>
                      <w:rFonts w:ascii="仿宋_GB2312" w:hAnsi="仿宋_GB2312" w:cs="仿宋_GB2312" w:eastAsia="仿宋_GB2312"/>
                      <w:sz w:val="20"/>
                      <w:b/>
                      <w:color w:val="000000"/>
                    </w:rPr>
                    <w:t>000元/</w:t>
                  </w:r>
                  <w:r>
                    <w:rPr>
                      <w:rFonts w:ascii="仿宋_GB2312" w:hAnsi="仿宋_GB2312" w:cs="仿宋_GB2312" w:eastAsia="仿宋_GB2312"/>
                      <w:sz w:val="20"/>
                      <w:b/>
                      <w:color w:val="000000"/>
                    </w:rPr>
                    <w:t>套；空调</w:t>
                  </w:r>
                  <w:r>
                    <w:rPr>
                      <w:rFonts w:ascii="仿宋_GB2312" w:hAnsi="仿宋_GB2312" w:cs="仿宋_GB2312" w:eastAsia="仿宋_GB2312"/>
                      <w:sz w:val="20"/>
                      <w:b/>
                      <w:color w:val="000000"/>
                    </w:rPr>
                    <w:t>1.5p最高限价2700元/台；投标人报价不能超过以上最高限价（如涉及），如超过最高限价则其报价为无效报价，该投标人投标无效。</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自合同签订之日起15日历天内完成所有产品的供货、安装、调试工作。</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项目交付且由甲方确认合格并收到供应商开具的发票后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按招标文件和合同约定执行。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质保期大于等于1年，且不得低于产品生产商对产品保修期标准。</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按招标文件和合同约定执行。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成交供应商在领取成交通知书前，须向采购代理机构提供纸质版响应文件3套（1正2副），U盘2份（包括响应文件的全部内容）且提供的响应文件必须与在陕西省政府采购综合管理平台的项目电子化交易系统中提交的电子响应文件内容一致，纸质版响应文件必须装订成册签字盖章。（2） 供应商所投产品生产厂家为小微企业的，在填写中小企业声明函时应对第三章产品名称后列明行业为工业的产品进行逐项声明。</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供应商需在项目电子化交易系统中按要求填写《响应函》完成承诺并进行电子签章，并提供以下资料： 1.提供合格有效的法人或者其他组织的营业执照等证明文件，自然人的身份证明（供应商是法人或其他组织的应提供营业执照等证明文件，供应商是自然人的应提供有效的自然人身份证明）； 2.提供2022年度或2023年度经审计的财务报告（包括审计报告、资产负债表、利润表、现金流量表、所有者权益变动表（没有可不提供）及附注，成立时间至响应文件提交截止时间不足一年的可提供成立后任意时段的资产负债表），或响应文件提交截止时间三个月内基本账户开户银行出具的资信证明及基本存款账户信息（以上两种形式的资料提供任何一种即可）； 3.提供具有履行合同所必需的设备和专业技术能力的承诺； 4.提供响应文件提交截止时间前一年内已缴纳的至少一个月的纳税证明或完税证明（增值税、营业税、企业所得税至少提供一种），纳税证明或完税证明上应有代收机构或税务机关的公章或业务专用章，依法免税的供应商应提供相应证明文件； 5.提供响应文件提交截止时间前一年内已缴存的至少一个月的社会保障资金缴存单据或社保机构开具的社会保险参保缴费情况证明，依法不需要缴纳社会保障资金的供应商应提供相应证明文件； 6.参加政府采购活动前三年内，在经营活动中没有重大违法记录的书面声明。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上传2022年度或2023年度经审计的财务报告（包括审计报告、资产负债表、利润表、现金流量表、所有者权益变动表（没有可不提供）及附注，成立时间至响应文件提交截止时间不足一年的可提供成立后任意时段的资产负债表），或响应文件提交截止时间三个月内基本账户开户银行出具的资信证明及基本存款账户信息（以上两种形式的资料提供任何一种即可），并进行电子签章。</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响应文件中项目名称、项目编号</w:t>
            </w:r>
          </w:p>
        </w:tc>
        <w:tc>
          <w:tcPr>
            <w:tcW w:type="dxa" w:w="3322"/>
          </w:tcPr>
          <w:p>
            <w:pPr>
              <w:pStyle w:val="null3"/>
            </w:pPr>
            <w:r>
              <w:rPr>
                <w:rFonts w:ascii="仿宋_GB2312" w:hAnsi="仿宋_GB2312" w:cs="仿宋_GB2312" w:eastAsia="仿宋_GB2312"/>
              </w:rPr>
              <w:t>与所投项目名称、项目编号完全一致</w:t>
            </w:r>
          </w:p>
        </w:tc>
        <w:tc>
          <w:tcPr>
            <w:tcW w:type="dxa" w:w="1661"/>
          </w:tcPr>
          <w:p>
            <w:pPr>
              <w:pStyle w:val="null3"/>
            </w:pPr>
            <w:r>
              <w:rPr>
                <w:rFonts w:ascii="仿宋_GB2312" w:hAnsi="仿宋_GB2312" w:cs="仿宋_GB2312" w:eastAsia="仿宋_GB2312"/>
              </w:rPr>
              <w:t>响应文件封面 分项报价表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符合磋商文件签署盖章要求</w:t>
            </w:r>
          </w:p>
        </w:tc>
        <w:tc>
          <w:tcPr>
            <w:tcW w:type="dxa" w:w="1661"/>
          </w:tcPr>
          <w:p>
            <w:pPr>
              <w:pStyle w:val="null3"/>
            </w:pPr>
            <w:r>
              <w:rPr>
                <w:rFonts w:ascii="仿宋_GB2312" w:hAnsi="仿宋_GB2312" w:cs="仿宋_GB2312" w:eastAsia="仿宋_GB2312"/>
              </w:rPr>
              <w:t>响应文件封面 技术规格偏离表 资格证明文件 供应商参加政府采购活动承诺书 分项报价表 中小企业声明函 残疾人福利性单位声明函 标的清单 报价表 响应函 商务条款偏离表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商务条款偏离表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商务条款偏离表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1.磋商报价唯一； 2.报价货币符合磋商文件要求； 3.未超出采购预算或磋商文件规定的最高限价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商务条款</w:t>
            </w:r>
          </w:p>
        </w:tc>
        <w:tc>
          <w:tcPr>
            <w:tcW w:type="dxa" w:w="3322"/>
          </w:tcPr>
          <w:p>
            <w:pPr>
              <w:pStyle w:val="null3"/>
            </w:pPr>
            <w:r>
              <w:rPr>
                <w:rFonts w:ascii="仿宋_GB2312" w:hAnsi="仿宋_GB2312" w:cs="仿宋_GB2312" w:eastAsia="仿宋_GB2312"/>
              </w:rPr>
              <w:t>响应磋商文件商务条款未出现负偏离且响应的内容中未附有采购人不能接受的附加条件</w:t>
            </w:r>
          </w:p>
        </w:tc>
        <w:tc>
          <w:tcPr>
            <w:tcW w:type="dxa" w:w="1661"/>
          </w:tcPr>
          <w:p>
            <w:pPr>
              <w:pStyle w:val="null3"/>
            </w:pPr>
            <w:r>
              <w:rPr>
                <w:rFonts w:ascii="仿宋_GB2312" w:hAnsi="仿宋_GB2312" w:cs="仿宋_GB2312" w:eastAsia="仿宋_GB2312"/>
              </w:rPr>
              <w:t>商务条款偏离表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技术规格偏离表 技术方案 商务条款偏离表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详细评审60.0000分</w:t>
            </w:r>
          </w:p>
          <w:p>
            <w:pPr>
              <w:pStyle w:val="null3"/>
            </w:pPr>
            <w:r>
              <w:rPr>
                <w:rFonts w:ascii="仿宋_GB2312" w:hAnsi="仿宋_GB2312" w:cs="仿宋_GB2312" w:eastAsia="仿宋_GB2312"/>
              </w:rPr>
              <w:t>报价得分40.0000分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供应商按要求填写技术规格偏离表，产品技术参数明确，无负偏离，产品规格符合磋商文件要求的得满分20分。带“▲”项每负偏离一项扣0.5分；非“▲”项参数每负偏离一项扣0.25分，扣完为止。 评审标准： 带“▲”项参数中明确要求提供指定证明材料的，供应商须按要求提供指定证明材料，未按要求提供或提供的证明材料不能证明其满足招标文件要求的视为负偏离；如技术参数中未要求指定证明材料的，供应商除填写技术规格偏离表外还须提供相应的技术参数指标证明材料（例如：检测报告、产品说明书、产品彩页、官网介绍截图或技术白皮书等相关证明材料）并加盖供应商公章，未提供相关证明材料或提供的证明材料不能证明其满足招标文件要求视为负偏离。 2.非“▲”项技术参数以供应商技术规格偏离表填写的响应/偏离情况进行评审，如技术参数中明确要求提供指定证明材料的，供应商除填写技术规格偏离表外，还应按要求提供指定证明材料，未按要求提供或提供的证明材料不能证明其满足招标文件要求视为负偏离。 （注：竞争性磋商文件中关于重要参数扣分情况描述与本项评审办法不一致是以本项评审办法为准）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技术规格偏离表</w:t>
            </w:r>
          </w:p>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①总体实施方案②供货组织安排，包括仓储、运输、交付、安装、检测③进度安排计划和进度保证措施④质量保证措施⑤验收方案。 评审标准： 以上内容切合本项目实际情况，内容与要点相符、每个要点均有展开详细的阐述且能够适用于本项目，能有效保障项目服务质量的得15分。评审内容任意一项缺项扣3分；评审内容任意一项有缺陷（缺陷是指：方案逻辑混乱、描述过于简单、与项目特点不匹配、出现常识性错误、套用其他项目方案、存在不可能实现的夸大情形、存在不适用项目实际情况的情形或只有标题没有实质性内容）扣0.1-2.9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供货渠道</w:t>
            </w:r>
          </w:p>
        </w:tc>
        <w:tc>
          <w:tcPr>
            <w:tcW w:type="dxa" w:w="2492"/>
          </w:tcPr>
          <w:p>
            <w:pPr>
              <w:pStyle w:val="null3"/>
            </w:pPr>
            <w:r>
              <w:rPr>
                <w:rFonts w:ascii="仿宋_GB2312" w:hAnsi="仿宋_GB2312" w:cs="仿宋_GB2312" w:eastAsia="仿宋_GB2312"/>
              </w:rPr>
              <w:t>1、提供产品货源渠道正规，确保产品无假货、水货、翻新货且无产权纠纷，提供所投产品的合法来源渠道证明文件（包括但不限于产品销售协议、代理协议、原厂授权等任意一种），根据提供的所投产品供货渠道证明文件齐全程度赋0.1-4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①组织机构设置方案②团队的职能分工及职责划分方案③拟投入人员配置、数量、经验及专业能力。 评审标准： 机构设置合理、团队人员职责划分明确、团队配置满足项目情况及需要，人员专业能力能有效保障项目服务质量，内容描述详细，架构清晰的得6分； 评审内容任意一项缺项扣2分；评审内容有一项内容缺陷（缺陷是指：内容粗略、组织结构设置不合理、人员配置不合理、职责划分不明确、人员经验不足、与项目特点不匹配、或只有标题没有实质性内容等）扣0.1-1.9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①培训计划和安排②培训组织人员③培训内容和方式。 评审标准： 以上内容切合项目实际情况，内容与要点相符、每个要点均有展开详细的阐述且能够适用于本项目，方案完整，确保培训后的人员了解产品结构、操作方法，并能排除一般故障的得3分； 评审内容任意一项缺项扣1分； 评审内容任意一项有缺陷（缺陷是指：培训内容过于简单、与项目特点不匹配、出现常识性错误、套用其他项目方案、存在不可能实现的夸大情形、存在不适用项目实际情况的情形或只有标题没有实质性内容）扣0.1-0.9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①售后人员配置情况②承诺的质量保证范围及质量保证承诺③日常维护方案④故障响应时间及应对措施⑤应急预案。 评审标准： 方案详细，内容与要点相符、每个要点均有展开详细的阐述且能够适用于本项目，能有效保证项目售后服务质量的得5分； 评审内容任意一项有缺项或只有标题没有实质性内容扣1分； 评审内容任意一项内容有缺陷（缺陷是指：内容粗略、方案简单、与项目特点不匹配、套用其他项目方案、出现常识性错误、存在不可能实现的夸大情形、存在不适用项目实际情况的情形或只有标题没有实质性内容等）扣0.1-1.9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节能、环境标志产品</w:t>
            </w:r>
          </w:p>
        </w:tc>
        <w:tc>
          <w:tcPr>
            <w:tcW w:type="dxa" w:w="2492"/>
          </w:tcPr>
          <w:p>
            <w:pPr>
              <w:pStyle w:val="null3"/>
            </w:pPr>
            <w:r>
              <w:rPr>
                <w:rFonts w:ascii="仿宋_GB2312" w:hAnsi="仿宋_GB2312" w:cs="仿宋_GB2312" w:eastAsia="仿宋_GB2312"/>
              </w:rPr>
              <w:t>所投产品为“节能产品政府采购品目清单”或“环境标志产品政府采购品目清单”内非政府强制采购产品的，提供该产品国家确定的认证机构出具的、处于有效期之内的节能产品、环境标志产品认证证书（且认证证书需包含本次所投产品的具体型号）并加盖供应商公章，每提供一种得0.5分，最高得1分。（节能和环境标志产品可重复得分，如所投产品类别列入“节能产品政府采购品目清单”中规定强制采购的节能产品，实行强制采购，不给予加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提供供应商2022年1月至响应文件提交截止日类似项目业绩（以合同复印件为准），每提供一份业绩得2分，最高得6分。若提供虚假业绩，一经发现，按无效磋商处理。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（1）经初审合格的磋商响应文件，其磋商报价为有效磋商报价。 （2）满足磋商文件实质性要求且最终报价最低的供应商的价格为磋商基准价，其价格分为满分40分。 （3）磋商报价得分=（磋商基准价/最终磋商报价）×40。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详见附件：技术规格偏离表</w:t>
      </w:r>
    </w:p>
    <w:p>
      <w:pPr>
        <w:pStyle w:val="null3"/>
        <w:ind w:firstLine="960"/>
      </w:pPr>
      <w:r>
        <w:rPr>
          <w:rFonts w:ascii="仿宋_GB2312" w:hAnsi="仿宋_GB2312" w:cs="仿宋_GB2312" w:eastAsia="仿宋_GB2312"/>
        </w:rPr>
        <w:t>详见附件：商务条款偏离表</w:t>
      </w:r>
    </w:p>
    <w:p>
      <w:pPr>
        <w:pStyle w:val="null3"/>
        <w:ind w:firstLine="960"/>
      </w:pPr>
      <w:r>
        <w:rPr>
          <w:rFonts w:ascii="仿宋_GB2312" w:hAnsi="仿宋_GB2312" w:cs="仿宋_GB2312" w:eastAsia="仿宋_GB2312"/>
        </w:rPr>
        <w:t>详见附件：技术方案</w:t>
      </w:r>
    </w:p>
    <w:p>
      <w:pPr>
        <w:pStyle w:val="null3"/>
        <w:ind w:firstLine="960"/>
      </w:pPr>
      <w:r>
        <w:rPr>
          <w:rFonts w:ascii="仿宋_GB2312" w:hAnsi="仿宋_GB2312" w:cs="仿宋_GB2312" w:eastAsia="仿宋_GB2312"/>
        </w:rPr>
        <w:t>详见附件：业绩证明材料</w:t>
      </w:r>
    </w:p>
    <w:p>
      <w:pPr>
        <w:pStyle w:val="null3"/>
        <w:ind w:firstLine="960"/>
      </w:pPr>
      <w:r>
        <w:rPr>
          <w:rFonts w:ascii="仿宋_GB2312" w:hAnsi="仿宋_GB2312" w:cs="仿宋_GB2312" w:eastAsia="仿宋_GB2312"/>
        </w:rPr>
        <w:t>详见附件：供应商参加政府采购活动承诺书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