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46ED4">
      <w:pPr>
        <w:pStyle w:val="5"/>
        <w:jc w:val="center"/>
        <w:outlineLvl w:val="0"/>
        <w:rPr>
          <w:rFonts w:hint="eastAsia" w:ascii="宋体" w:hAnsi="宋体" w:eastAsia="宋体" w:cs="宋体"/>
        </w:rPr>
      </w:pPr>
      <w:r>
        <w:rPr>
          <w:rFonts w:hint="eastAsia" w:ascii="宋体" w:hAnsi="宋体" w:eastAsia="宋体" w:cs="宋体"/>
          <w:b/>
          <w:sz w:val="36"/>
        </w:rPr>
        <w:t>拟签订采购合同文本</w:t>
      </w:r>
    </w:p>
    <w:p w14:paraId="03968E96">
      <w:pPr>
        <w:pStyle w:val="5"/>
        <w:rPr>
          <w:rFonts w:hint="eastAsia" w:ascii="宋体" w:hAnsi="宋体" w:eastAsia="宋体" w:cs="宋体"/>
          <w:sz w:val="24"/>
          <w:szCs w:val="24"/>
        </w:rPr>
      </w:pPr>
    </w:p>
    <w:p w14:paraId="447AAC6A">
      <w:pPr>
        <w:pStyle w:val="5"/>
        <w:jc w:val="center"/>
        <w:rPr>
          <w:rFonts w:hint="eastAsia" w:ascii="宋体" w:hAnsi="宋体" w:eastAsia="宋体" w:cs="宋体"/>
        </w:rPr>
      </w:pPr>
    </w:p>
    <w:p w14:paraId="51104DA8">
      <w:pPr>
        <w:jc w:val="center"/>
        <w:rPr>
          <w:rFonts w:ascii="宋体" w:hAnsi="宋体" w:eastAsia="宋体" w:cs="宋体"/>
          <w:b/>
          <w:sz w:val="28"/>
          <w:lang w:eastAsia="zh-CN"/>
        </w:rPr>
      </w:pPr>
      <w:bookmarkStart w:id="0" w:name="OLE_LINK30"/>
      <w:bookmarkStart w:id="1" w:name="OLE_LINK31"/>
    </w:p>
    <w:p w14:paraId="6FA9C100">
      <w:pPr>
        <w:jc w:val="center"/>
        <w:rPr>
          <w:rFonts w:ascii="宋体" w:hAnsi="宋体" w:eastAsia="宋体" w:cs="宋体"/>
          <w:b/>
          <w:sz w:val="28"/>
          <w:lang w:eastAsia="zh-CN"/>
        </w:rPr>
      </w:pPr>
    </w:p>
    <w:p w14:paraId="5F7A3531">
      <w:pPr>
        <w:jc w:val="center"/>
        <w:rPr>
          <w:rFonts w:ascii="宋体" w:hAnsi="宋体" w:eastAsia="宋体" w:cs="宋体"/>
          <w:b/>
          <w:sz w:val="28"/>
          <w:lang w:eastAsia="zh-CN"/>
        </w:rPr>
      </w:pPr>
    </w:p>
    <w:p w14:paraId="6B90F266">
      <w:pPr>
        <w:jc w:val="center"/>
        <w:rPr>
          <w:rFonts w:ascii="宋体" w:hAnsi="宋体" w:eastAsia="宋体" w:cs="宋体"/>
          <w:b/>
          <w:sz w:val="28"/>
          <w:lang w:eastAsia="zh-CN"/>
        </w:rPr>
      </w:pPr>
    </w:p>
    <w:p w14:paraId="3F11C07E">
      <w:pPr>
        <w:jc w:val="center"/>
        <w:rPr>
          <w:rFonts w:ascii="宋体" w:hAnsi="宋体" w:eastAsia="宋体" w:cs="宋体"/>
          <w:b/>
          <w:sz w:val="36"/>
          <w:szCs w:val="32"/>
          <w:lang w:eastAsia="zh-CN"/>
        </w:rPr>
      </w:pPr>
      <w:r>
        <w:rPr>
          <w:rFonts w:ascii="宋体" w:hAnsi="宋体" w:eastAsia="宋体" w:cs="宋体"/>
          <w:b/>
          <w:sz w:val="36"/>
          <w:szCs w:val="32"/>
          <w:lang w:eastAsia="zh-CN"/>
        </w:rPr>
        <w:t>凤城三路（图书馆）地块垃圾清运</w:t>
      </w:r>
      <w:bookmarkEnd w:id="0"/>
      <w:bookmarkEnd w:id="1"/>
    </w:p>
    <w:p w14:paraId="1E657C6D">
      <w:pPr>
        <w:pStyle w:val="2"/>
        <w:ind w:left="0" w:leftChars="0" w:firstLine="0" w:firstLineChars="0"/>
        <w:jc w:val="center"/>
        <w:rPr>
          <w:rFonts w:hint="eastAsia"/>
          <w:sz w:val="18"/>
          <w:szCs w:val="21"/>
          <w:lang w:val="en-US" w:eastAsia="zh-Hans"/>
        </w:rPr>
      </w:pPr>
      <w:r>
        <w:rPr>
          <w:rFonts w:hint="eastAsia" w:ascii="宋体" w:hAnsi="宋体" w:eastAsia="宋体" w:cs="宋体"/>
          <w:b/>
          <w:sz w:val="28"/>
          <w:szCs w:val="24"/>
          <w:lang w:eastAsia="zh-CN"/>
        </w:rPr>
        <w:t>（</w:t>
      </w:r>
      <w:r>
        <w:rPr>
          <w:rFonts w:hint="eastAsia" w:ascii="宋体" w:hAnsi="宋体" w:eastAsia="宋体" w:cs="宋体"/>
          <w:b/>
          <w:sz w:val="28"/>
          <w:szCs w:val="24"/>
          <w:lang w:val="en-US" w:eastAsia="zh-CN"/>
        </w:rPr>
        <w:t>合同文本</w:t>
      </w:r>
      <w:r>
        <w:rPr>
          <w:rFonts w:hint="eastAsia" w:ascii="宋体" w:hAnsi="宋体" w:eastAsia="宋体" w:cs="宋体"/>
          <w:b/>
          <w:sz w:val="28"/>
          <w:szCs w:val="24"/>
          <w:lang w:eastAsia="zh-CN"/>
        </w:rPr>
        <w:t>）</w:t>
      </w:r>
    </w:p>
    <w:p w14:paraId="05C62FD3">
      <w:pPr>
        <w:widowControl/>
        <w:kinsoku w:val="0"/>
        <w:autoSpaceDE w:val="0"/>
        <w:autoSpaceDN w:val="0"/>
        <w:adjustRightInd w:val="0"/>
        <w:snapToGrid w:val="0"/>
        <w:spacing w:line="360" w:lineRule="auto"/>
        <w:textAlignment w:val="baseline"/>
        <w:rPr>
          <w:rFonts w:hint="eastAsia" w:ascii="宋体" w:hAnsi="宋体" w:cs="宋体"/>
          <w:spacing w:val="8"/>
          <w:szCs w:val="21"/>
        </w:rPr>
      </w:pPr>
    </w:p>
    <w:p w14:paraId="60574672">
      <w:pPr>
        <w:widowControl/>
        <w:kinsoku w:val="0"/>
        <w:autoSpaceDE w:val="0"/>
        <w:autoSpaceDN w:val="0"/>
        <w:adjustRightInd w:val="0"/>
        <w:snapToGrid w:val="0"/>
        <w:spacing w:line="360" w:lineRule="auto"/>
        <w:textAlignment w:val="baseline"/>
        <w:rPr>
          <w:rFonts w:hint="eastAsia" w:ascii="宋体" w:hAnsi="宋体" w:cs="宋体"/>
          <w:spacing w:val="8"/>
          <w:szCs w:val="21"/>
        </w:rPr>
      </w:pPr>
    </w:p>
    <w:p w14:paraId="56FD5CD0">
      <w:pPr>
        <w:widowControl/>
        <w:kinsoku w:val="0"/>
        <w:autoSpaceDE w:val="0"/>
        <w:autoSpaceDN w:val="0"/>
        <w:adjustRightInd w:val="0"/>
        <w:snapToGrid w:val="0"/>
        <w:spacing w:line="360" w:lineRule="auto"/>
        <w:textAlignment w:val="baseline"/>
        <w:rPr>
          <w:rFonts w:hint="eastAsia" w:ascii="宋体" w:hAnsi="宋体" w:cs="宋体"/>
          <w:spacing w:val="8"/>
          <w:szCs w:val="21"/>
        </w:rPr>
      </w:pPr>
    </w:p>
    <w:p w14:paraId="72939634">
      <w:pPr>
        <w:widowControl/>
        <w:kinsoku w:val="0"/>
        <w:autoSpaceDE w:val="0"/>
        <w:autoSpaceDN w:val="0"/>
        <w:adjustRightInd w:val="0"/>
        <w:snapToGrid w:val="0"/>
        <w:spacing w:line="360" w:lineRule="auto"/>
        <w:textAlignment w:val="baseline"/>
        <w:rPr>
          <w:rFonts w:hint="eastAsia" w:ascii="宋体" w:hAnsi="宋体" w:cs="宋体"/>
          <w:spacing w:val="8"/>
          <w:szCs w:val="21"/>
        </w:rPr>
      </w:pPr>
    </w:p>
    <w:p w14:paraId="4D904F96">
      <w:pPr>
        <w:widowControl/>
        <w:kinsoku w:val="0"/>
        <w:autoSpaceDE w:val="0"/>
        <w:autoSpaceDN w:val="0"/>
        <w:adjustRightInd w:val="0"/>
        <w:snapToGrid w:val="0"/>
        <w:spacing w:line="360" w:lineRule="auto"/>
        <w:textAlignment w:val="baseline"/>
        <w:rPr>
          <w:rFonts w:hint="eastAsia" w:ascii="宋体" w:hAnsi="宋体" w:cs="宋体"/>
          <w:spacing w:val="8"/>
          <w:szCs w:val="21"/>
        </w:rPr>
      </w:pPr>
    </w:p>
    <w:p w14:paraId="24057EC0">
      <w:pPr>
        <w:widowControl/>
        <w:kinsoku w:val="0"/>
        <w:autoSpaceDE w:val="0"/>
        <w:autoSpaceDN w:val="0"/>
        <w:adjustRightInd w:val="0"/>
        <w:snapToGrid w:val="0"/>
        <w:spacing w:line="360" w:lineRule="auto"/>
        <w:textAlignment w:val="baseline"/>
        <w:rPr>
          <w:rFonts w:hint="eastAsia" w:ascii="宋体" w:hAnsi="宋体" w:cs="宋体"/>
          <w:spacing w:val="8"/>
          <w:szCs w:val="21"/>
        </w:rPr>
      </w:pPr>
    </w:p>
    <w:p w14:paraId="494A1D43">
      <w:pPr>
        <w:widowControl/>
        <w:kinsoku w:val="0"/>
        <w:autoSpaceDE w:val="0"/>
        <w:autoSpaceDN w:val="0"/>
        <w:adjustRightInd w:val="0"/>
        <w:snapToGrid w:val="0"/>
        <w:spacing w:line="480" w:lineRule="auto"/>
        <w:ind w:firstLine="2304" w:firstLineChars="900"/>
        <w:jc w:val="both"/>
        <w:textAlignment w:val="baseline"/>
        <w:rPr>
          <w:rFonts w:hint="eastAsia" w:ascii="宋体" w:hAnsi="宋体" w:cs="宋体"/>
          <w:spacing w:val="8"/>
          <w:sz w:val="24"/>
          <w:szCs w:val="24"/>
          <w:u w:val="single"/>
          <w:lang w:val="en-US" w:eastAsia="zh-CN"/>
        </w:rPr>
      </w:pPr>
      <w:r>
        <w:rPr>
          <w:rFonts w:hint="eastAsia" w:ascii="宋体" w:hAnsi="宋体" w:cs="宋体"/>
          <w:spacing w:val="8"/>
          <w:sz w:val="24"/>
          <w:szCs w:val="24"/>
        </w:rPr>
        <w:t>甲方：</w:t>
      </w:r>
      <w:r>
        <w:rPr>
          <w:rFonts w:hint="eastAsia" w:ascii="宋体" w:hAnsi="宋体" w:cs="宋体"/>
          <w:spacing w:val="8"/>
          <w:sz w:val="24"/>
          <w:szCs w:val="24"/>
          <w:u w:val="single"/>
          <w:lang w:val="en-US" w:eastAsia="zh-CN"/>
        </w:rPr>
        <w:t xml:space="preserve">           </w:t>
      </w:r>
    </w:p>
    <w:p w14:paraId="40C03D7B">
      <w:pPr>
        <w:widowControl/>
        <w:kinsoku w:val="0"/>
        <w:autoSpaceDE w:val="0"/>
        <w:autoSpaceDN w:val="0"/>
        <w:adjustRightInd w:val="0"/>
        <w:snapToGrid w:val="0"/>
        <w:spacing w:line="480" w:lineRule="auto"/>
        <w:ind w:firstLine="2142" w:firstLineChars="900"/>
        <w:jc w:val="both"/>
        <w:textAlignment w:val="baseline"/>
        <w:rPr>
          <w:rFonts w:hint="default" w:ascii="宋体" w:hAnsi="宋体" w:cs="宋体" w:eastAsiaTheme="minorEastAsia"/>
          <w:spacing w:val="-1"/>
          <w:sz w:val="24"/>
          <w:szCs w:val="24"/>
          <w:u w:val="single"/>
          <w:lang w:val="en-US" w:eastAsia="zh-CN"/>
        </w:rPr>
      </w:pPr>
      <w:r>
        <w:rPr>
          <w:rFonts w:hint="eastAsia" w:ascii="宋体" w:hAnsi="宋体" w:cs="宋体"/>
          <w:spacing w:val="-1"/>
          <w:sz w:val="24"/>
          <w:szCs w:val="24"/>
        </w:rPr>
        <w:t>乙方：</w:t>
      </w:r>
      <w:r>
        <w:rPr>
          <w:rFonts w:hint="eastAsia" w:ascii="宋体" w:hAnsi="宋体" w:cs="宋体"/>
          <w:spacing w:val="-1"/>
          <w:sz w:val="24"/>
          <w:szCs w:val="24"/>
          <w:lang w:val="en-US" w:eastAsia="zh-CN"/>
        </w:rPr>
        <w:t xml:space="preserve"> </w:t>
      </w:r>
      <w:r>
        <w:rPr>
          <w:rFonts w:hint="eastAsia" w:ascii="宋体" w:hAnsi="宋体" w:cs="宋体"/>
          <w:spacing w:val="-1"/>
          <w:sz w:val="24"/>
          <w:szCs w:val="24"/>
          <w:u w:val="single"/>
          <w:lang w:val="en-US" w:eastAsia="zh-CN"/>
        </w:rPr>
        <w:t xml:space="preserve">             </w:t>
      </w:r>
    </w:p>
    <w:p w14:paraId="608A3329">
      <w:pPr>
        <w:spacing w:line="480" w:lineRule="auto"/>
        <w:ind w:firstLine="2304" w:firstLineChars="900"/>
        <w:jc w:val="both"/>
        <w:rPr>
          <w:rFonts w:hint="eastAsia" w:ascii="宋体" w:hAnsi="宋体" w:cs="宋体"/>
          <w:spacing w:val="8"/>
          <w:sz w:val="24"/>
          <w:szCs w:val="24"/>
        </w:rPr>
      </w:pPr>
      <w:r>
        <w:rPr>
          <w:rFonts w:hint="eastAsia" w:ascii="宋体" w:hAnsi="宋体" w:cs="宋体"/>
          <w:spacing w:val="8"/>
          <w:sz w:val="24"/>
          <w:szCs w:val="24"/>
          <w:lang w:val="en-US" w:eastAsia="zh-CN"/>
        </w:rPr>
        <w:t>日期：</w:t>
      </w:r>
      <w:r>
        <w:rPr>
          <w:rFonts w:hint="eastAsia" w:ascii="宋体" w:hAnsi="宋体" w:cs="宋体"/>
          <w:spacing w:val="8"/>
          <w:sz w:val="24"/>
          <w:szCs w:val="24"/>
          <w:u w:val="single"/>
          <w:lang w:val="en-US" w:eastAsia="zh-CN"/>
        </w:rPr>
        <w:t xml:space="preserve">            </w:t>
      </w:r>
      <w:r>
        <w:rPr>
          <w:rFonts w:hint="eastAsia" w:ascii="宋体" w:hAnsi="宋体" w:cs="宋体"/>
          <w:spacing w:val="8"/>
          <w:sz w:val="24"/>
          <w:szCs w:val="24"/>
          <w:u w:val="single"/>
        </w:rPr>
        <w:br w:type="page"/>
      </w:r>
    </w:p>
    <w:p w14:paraId="19589EE4">
      <w:pPr>
        <w:rPr>
          <w:rFonts w:hint="default" w:ascii="宋体" w:hAnsi="宋体" w:cs="宋体" w:eastAsiaTheme="minorEastAsia"/>
          <w:szCs w:val="21"/>
          <w:u w:val="single"/>
          <w:lang w:val="en-US" w:eastAsia="zh-CN"/>
        </w:rPr>
      </w:pPr>
      <w:r>
        <w:rPr>
          <w:rFonts w:hint="eastAsia" w:ascii="宋体" w:hAnsi="宋体" w:cs="宋体"/>
          <w:spacing w:val="8"/>
          <w:szCs w:val="21"/>
        </w:rPr>
        <w:t>甲方：</w:t>
      </w:r>
      <w:r>
        <w:rPr>
          <w:rFonts w:hint="eastAsia" w:ascii="宋体" w:hAnsi="宋体" w:cs="宋体"/>
          <w:spacing w:val="8"/>
          <w:szCs w:val="21"/>
          <w:u w:val="single"/>
          <w:lang w:val="en-US" w:eastAsia="zh-CN"/>
        </w:rPr>
        <w:t xml:space="preserve">                   </w:t>
      </w:r>
    </w:p>
    <w:p w14:paraId="15F169BB">
      <w:pPr>
        <w:widowControl/>
        <w:kinsoku w:val="0"/>
        <w:autoSpaceDE w:val="0"/>
        <w:autoSpaceDN w:val="0"/>
        <w:adjustRightInd w:val="0"/>
        <w:snapToGrid w:val="0"/>
        <w:spacing w:line="360" w:lineRule="auto"/>
        <w:textAlignment w:val="baseline"/>
        <w:rPr>
          <w:rFonts w:hint="default" w:ascii="宋体" w:hAnsi="宋体" w:cs="宋体" w:eastAsiaTheme="minorEastAsia"/>
          <w:szCs w:val="21"/>
          <w:u w:val="single"/>
          <w:lang w:val="en-US" w:eastAsia="zh-CN"/>
        </w:rPr>
      </w:pPr>
      <w:r>
        <w:rPr>
          <w:rFonts w:hint="eastAsia" w:ascii="宋体" w:hAnsi="宋体" w:cs="宋体"/>
          <w:spacing w:val="-1"/>
          <w:szCs w:val="21"/>
        </w:rPr>
        <w:t>乙方：</w:t>
      </w:r>
      <w:r>
        <w:rPr>
          <w:rFonts w:hint="eastAsia" w:ascii="宋体" w:hAnsi="宋体" w:cs="宋体"/>
          <w:spacing w:val="-1"/>
          <w:szCs w:val="21"/>
          <w:lang w:val="en-US" w:eastAsia="zh-CN"/>
        </w:rPr>
        <w:t xml:space="preserve"> </w:t>
      </w:r>
      <w:r>
        <w:rPr>
          <w:rFonts w:hint="eastAsia" w:ascii="宋体" w:hAnsi="宋体" w:cs="宋体"/>
          <w:spacing w:val="-1"/>
          <w:szCs w:val="21"/>
          <w:u w:val="single"/>
          <w:lang w:val="en-US" w:eastAsia="zh-CN"/>
        </w:rPr>
        <w:t xml:space="preserve">                       </w:t>
      </w:r>
    </w:p>
    <w:p w14:paraId="2A4557CC">
      <w:pPr>
        <w:widowControl/>
        <w:kinsoku w:val="0"/>
        <w:autoSpaceDE w:val="0"/>
        <w:autoSpaceDN w:val="0"/>
        <w:adjustRightInd w:val="0"/>
        <w:snapToGrid w:val="0"/>
        <w:spacing w:line="360" w:lineRule="auto"/>
        <w:ind w:firstLine="468" w:firstLineChars="200"/>
        <w:textAlignment w:val="baseline"/>
        <w:rPr>
          <w:rFonts w:ascii="宋体" w:hAnsi="宋体" w:cs="宋体"/>
          <w:szCs w:val="21"/>
        </w:rPr>
      </w:pPr>
      <w:r>
        <w:rPr>
          <w:rFonts w:hint="eastAsia" w:ascii="宋体" w:hAnsi="宋体" w:cs="宋体"/>
          <w:spacing w:val="12"/>
          <w:szCs w:val="21"/>
        </w:rPr>
        <w:t>依照《中华人民共和国政府采购法》及实施条例、《中华人民共</w:t>
      </w:r>
      <w:r>
        <w:rPr>
          <w:rFonts w:hint="eastAsia" w:ascii="宋体" w:hAnsi="宋体" w:cs="宋体"/>
          <w:spacing w:val="11"/>
          <w:szCs w:val="21"/>
        </w:rPr>
        <w:t>和国民法典》《中华人民共和国建筑法》等</w:t>
      </w:r>
      <w:r>
        <w:rPr>
          <w:rFonts w:hint="eastAsia" w:ascii="宋体" w:hAnsi="宋体" w:cs="宋体"/>
          <w:spacing w:val="11"/>
          <w:szCs w:val="21"/>
          <w:lang w:val="en-US" w:eastAsia="zh-CN"/>
        </w:rPr>
        <w:t>有关</w:t>
      </w:r>
      <w:r>
        <w:rPr>
          <w:rFonts w:hint="eastAsia" w:ascii="宋体" w:hAnsi="宋体" w:cs="宋体"/>
          <w:spacing w:val="11"/>
          <w:szCs w:val="21"/>
        </w:rPr>
        <w:t>法律、行政法规，遵循平等、自愿、公平</w:t>
      </w:r>
      <w:r>
        <w:rPr>
          <w:rFonts w:hint="eastAsia" w:ascii="宋体" w:hAnsi="宋体" w:cs="宋体"/>
          <w:spacing w:val="10"/>
          <w:szCs w:val="21"/>
        </w:rPr>
        <w:t>和诚实信用的原则，双方就下述项目范围与相关服务事</w:t>
      </w:r>
      <w:r>
        <w:rPr>
          <w:rFonts w:hint="eastAsia" w:ascii="宋体" w:hAnsi="宋体" w:cs="宋体"/>
          <w:spacing w:val="8"/>
          <w:szCs w:val="21"/>
        </w:rPr>
        <w:t>项协商一致，订立本合同。</w:t>
      </w:r>
    </w:p>
    <w:p w14:paraId="2EBBDBAF">
      <w:pPr>
        <w:widowControl/>
        <w:kinsoku w:val="0"/>
        <w:autoSpaceDE w:val="0"/>
        <w:autoSpaceDN w:val="0"/>
        <w:adjustRightInd w:val="0"/>
        <w:snapToGrid w:val="0"/>
        <w:spacing w:line="360" w:lineRule="auto"/>
        <w:textAlignment w:val="baseline"/>
        <w:outlineLvl w:val="0"/>
        <w:rPr>
          <w:rFonts w:ascii="宋体" w:hAnsi="宋体" w:cs="宋体"/>
          <w:b/>
          <w:bCs/>
          <w:sz w:val="24"/>
        </w:rPr>
      </w:pPr>
      <w:bookmarkStart w:id="2" w:name="_Toc10966"/>
      <w:r>
        <w:rPr>
          <w:rFonts w:hint="eastAsia" w:ascii="宋体" w:hAnsi="宋体" w:cs="宋体"/>
          <w:b/>
          <w:bCs/>
          <w:spacing w:val="9"/>
          <w:sz w:val="24"/>
        </w:rPr>
        <w:t>第一条：工程项目</w:t>
      </w:r>
      <w:bookmarkEnd w:id="2"/>
    </w:p>
    <w:p w14:paraId="78B962D5">
      <w:pPr>
        <w:widowControl/>
        <w:kinsoku w:val="0"/>
        <w:autoSpaceDE w:val="0"/>
        <w:autoSpaceDN w:val="0"/>
        <w:adjustRightInd w:val="0"/>
        <w:snapToGrid w:val="0"/>
        <w:spacing w:line="360" w:lineRule="auto"/>
        <w:ind w:firstLine="464" w:firstLineChars="200"/>
        <w:textAlignment w:val="baseline"/>
        <w:rPr>
          <w:rFonts w:ascii="宋体" w:hAnsi="宋体" w:cs="宋体"/>
          <w:szCs w:val="21"/>
        </w:rPr>
      </w:pPr>
      <w:r>
        <w:rPr>
          <w:rFonts w:hint="eastAsia" w:ascii="宋体" w:hAnsi="宋体" w:cs="宋体"/>
          <w:spacing w:val="11"/>
          <w:szCs w:val="21"/>
        </w:rPr>
        <w:t>1.项目名称：</w:t>
      </w:r>
      <w:r>
        <w:rPr>
          <w:rFonts w:hint="eastAsia" w:ascii="宋体" w:hAnsi="宋体" w:cs="宋体"/>
          <w:spacing w:val="11"/>
          <w:szCs w:val="21"/>
          <w:u w:val="single"/>
        </w:rPr>
        <w:t xml:space="preserve">               </w:t>
      </w:r>
      <w:r>
        <w:rPr>
          <w:rFonts w:hint="eastAsia" w:ascii="宋体" w:hAnsi="宋体" w:cs="宋体"/>
          <w:szCs w:val="21"/>
        </w:rPr>
        <w:t>；</w:t>
      </w:r>
    </w:p>
    <w:p w14:paraId="7E54EFB3">
      <w:pPr>
        <w:widowControl/>
        <w:kinsoku w:val="0"/>
        <w:autoSpaceDE w:val="0"/>
        <w:autoSpaceDN w:val="0"/>
        <w:adjustRightInd w:val="0"/>
        <w:snapToGrid w:val="0"/>
        <w:spacing w:line="360" w:lineRule="auto"/>
        <w:ind w:firstLine="464" w:firstLineChars="200"/>
        <w:textAlignment w:val="baseline"/>
        <w:rPr>
          <w:rFonts w:ascii="宋体" w:hAnsi="宋体" w:cs="宋体"/>
          <w:spacing w:val="11"/>
          <w:szCs w:val="21"/>
        </w:rPr>
      </w:pPr>
      <w:r>
        <w:rPr>
          <w:rFonts w:hint="eastAsia" w:ascii="宋体" w:hAnsi="宋体" w:cs="宋体"/>
          <w:spacing w:val="11"/>
          <w:szCs w:val="21"/>
        </w:rPr>
        <w:t>2.工程地点：</w:t>
      </w:r>
      <w:r>
        <w:rPr>
          <w:rFonts w:hint="eastAsia" w:ascii="宋体" w:hAnsi="宋体" w:cs="宋体"/>
          <w:spacing w:val="11"/>
          <w:szCs w:val="21"/>
          <w:u w:val="single"/>
        </w:rPr>
        <w:t xml:space="preserve">               </w:t>
      </w:r>
      <w:r>
        <w:rPr>
          <w:rFonts w:hint="eastAsia" w:ascii="宋体" w:hAnsi="宋体" w:cs="宋体"/>
          <w:spacing w:val="11"/>
          <w:szCs w:val="21"/>
        </w:rPr>
        <w:t>；</w:t>
      </w:r>
    </w:p>
    <w:p w14:paraId="1E9FAB08">
      <w:pPr>
        <w:widowControl/>
        <w:kinsoku w:val="0"/>
        <w:autoSpaceDE w:val="0"/>
        <w:autoSpaceDN w:val="0"/>
        <w:adjustRightInd w:val="0"/>
        <w:snapToGrid w:val="0"/>
        <w:spacing w:line="360" w:lineRule="auto"/>
        <w:ind w:firstLine="464" w:firstLineChars="200"/>
        <w:textAlignment w:val="baseline"/>
        <w:rPr>
          <w:rFonts w:ascii="宋体" w:hAnsi="宋体" w:cs="宋体"/>
          <w:spacing w:val="11"/>
          <w:szCs w:val="21"/>
        </w:rPr>
      </w:pPr>
      <w:r>
        <w:rPr>
          <w:rFonts w:hint="eastAsia" w:ascii="宋体" w:hAnsi="宋体" w:cs="宋体"/>
          <w:spacing w:val="11"/>
          <w:szCs w:val="21"/>
        </w:rPr>
        <w:t>3.工程内容：</w:t>
      </w:r>
      <w:r>
        <w:rPr>
          <w:rFonts w:hint="eastAsia" w:ascii="宋体" w:hAnsi="宋体" w:cs="宋体"/>
          <w:spacing w:val="11"/>
          <w:szCs w:val="21"/>
          <w:u w:val="single"/>
        </w:rPr>
        <w:t xml:space="preserve">               </w:t>
      </w:r>
      <w:r>
        <w:rPr>
          <w:rFonts w:hint="eastAsia" w:ascii="宋体" w:hAnsi="宋体" w:cs="宋体"/>
          <w:spacing w:val="11"/>
          <w:szCs w:val="21"/>
        </w:rPr>
        <w:t>。</w:t>
      </w:r>
    </w:p>
    <w:p w14:paraId="1FDE2ADA">
      <w:pPr>
        <w:widowControl/>
        <w:kinsoku w:val="0"/>
        <w:autoSpaceDE w:val="0"/>
        <w:autoSpaceDN w:val="0"/>
        <w:adjustRightInd w:val="0"/>
        <w:snapToGrid w:val="0"/>
        <w:spacing w:line="360" w:lineRule="auto"/>
        <w:textAlignment w:val="baseline"/>
        <w:outlineLvl w:val="0"/>
        <w:rPr>
          <w:rFonts w:ascii="宋体" w:hAnsi="宋体" w:cs="宋体"/>
          <w:b/>
          <w:bCs/>
          <w:sz w:val="24"/>
        </w:rPr>
      </w:pPr>
      <w:bookmarkStart w:id="3" w:name="_Toc26932"/>
      <w:r>
        <w:rPr>
          <w:rFonts w:hint="eastAsia" w:ascii="宋体" w:hAnsi="宋体" w:cs="宋体"/>
          <w:b/>
          <w:bCs/>
          <w:spacing w:val="9"/>
          <w:sz w:val="24"/>
        </w:rPr>
        <w:t>第二条：工期</w:t>
      </w:r>
      <w:bookmarkEnd w:id="3"/>
    </w:p>
    <w:p w14:paraId="48CD092D">
      <w:pPr>
        <w:widowControl/>
        <w:kinsoku w:val="0"/>
        <w:autoSpaceDE w:val="0"/>
        <w:autoSpaceDN w:val="0"/>
        <w:adjustRightInd w:val="0"/>
        <w:snapToGrid w:val="0"/>
        <w:spacing w:line="360" w:lineRule="auto"/>
        <w:ind w:firstLine="420" w:firstLineChars="200"/>
        <w:textAlignment w:val="baseline"/>
        <w:rPr>
          <w:rFonts w:ascii="宋体" w:hAnsi="宋体" w:cs="宋体"/>
          <w:szCs w:val="21"/>
        </w:rPr>
      </w:pPr>
      <w:r>
        <w:rPr>
          <w:rFonts w:hint="eastAsia" w:ascii="宋体" w:hAnsi="宋体" w:cs="宋体"/>
          <w:szCs w:val="21"/>
        </w:rPr>
        <w:t>1.工期</w:t>
      </w:r>
      <w:r>
        <w:rPr>
          <w:rFonts w:hint="eastAsia" w:ascii="宋体" w:hAnsi="宋体" w:cs="宋体"/>
          <w:spacing w:val="7"/>
          <w:szCs w:val="21"/>
        </w:rPr>
        <w:t>：</w:t>
      </w:r>
      <w:r>
        <w:rPr>
          <w:rFonts w:ascii="宋体" w:hAnsi="宋体" w:eastAsia="宋体" w:cs="宋体"/>
          <w:szCs w:val="21"/>
        </w:rPr>
        <w:t>10个日历日</w:t>
      </w:r>
      <w:r>
        <w:rPr>
          <w:rFonts w:hint="eastAsia" w:ascii="宋体" w:hAnsi="宋体" w:cs="宋体"/>
          <w:spacing w:val="7"/>
          <w:szCs w:val="21"/>
        </w:rPr>
        <w:t>；</w:t>
      </w:r>
    </w:p>
    <w:p w14:paraId="78C01ACC">
      <w:pPr>
        <w:widowControl/>
        <w:kinsoku w:val="0"/>
        <w:autoSpaceDE w:val="0"/>
        <w:autoSpaceDN w:val="0"/>
        <w:adjustRightInd w:val="0"/>
        <w:snapToGrid w:val="0"/>
        <w:spacing w:line="360" w:lineRule="auto"/>
        <w:ind w:firstLine="419" w:firstLineChars="184"/>
        <w:jc w:val="left"/>
        <w:textAlignment w:val="baseline"/>
        <w:rPr>
          <w:rFonts w:ascii="宋体" w:hAnsi="宋体" w:cs="宋体"/>
          <w:szCs w:val="21"/>
        </w:rPr>
      </w:pPr>
      <w:r>
        <w:rPr>
          <w:rFonts w:hint="eastAsia" w:ascii="宋体" w:hAnsi="宋体" w:cs="宋体"/>
          <w:spacing w:val="9"/>
          <w:szCs w:val="21"/>
        </w:rPr>
        <w:t>2.如遇下列情况，经甲方现场代表签证后，工期可相应顺延（顺延工</w:t>
      </w:r>
      <w:r>
        <w:rPr>
          <w:rFonts w:hint="eastAsia" w:ascii="宋体" w:hAnsi="宋体" w:cs="宋体"/>
          <w:spacing w:val="8"/>
          <w:szCs w:val="21"/>
        </w:rPr>
        <w:t>期应由甲、乙双方共同签字确认）</w:t>
      </w:r>
    </w:p>
    <w:p w14:paraId="2FCF4B1B">
      <w:pPr>
        <w:widowControl/>
        <w:kinsoku w:val="0"/>
        <w:autoSpaceDE w:val="0"/>
        <w:autoSpaceDN w:val="0"/>
        <w:adjustRightInd w:val="0"/>
        <w:snapToGrid w:val="0"/>
        <w:spacing w:line="360" w:lineRule="auto"/>
        <w:ind w:firstLine="419" w:firstLineChars="184"/>
        <w:jc w:val="left"/>
        <w:textAlignment w:val="baseline"/>
        <w:rPr>
          <w:rFonts w:ascii="宋体" w:hAnsi="宋体" w:cs="宋体"/>
          <w:spacing w:val="9"/>
          <w:szCs w:val="21"/>
        </w:rPr>
      </w:pPr>
      <w:r>
        <w:rPr>
          <w:rFonts w:hint="eastAsia" w:ascii="宋体" w:hAnsi="宋体" w:cs="宋体"/>
          <w:spacing w:val="9"/>
          <w:szCs w:val="21"/>
        </w:rPr>
        <w:t>（1）在施工中如因停电、停水8小时以上或连续间歇性停水、停电3天以上（每次连续4小时以上），影响正常施工；停水停电 2 天以上；</w:t>
      </w:r>
    </w:p>
    <w:p w14:paraId="1E3D89C2">
      <w:pPr>
        <w:widowControl/>
        <w:kinsoku w:val="0"/>
        <w:autoSpaceDE w:val="0"/>
        <w:autoSpaceDN w:val="0"/>
        <w:adjustRightInd w:val="0"/>
        <w:snapToGrid w:val="0"/>
        <w:spacing w:line="360" w:lineRule="auto"/>
        <w:ind w:firstLine="419" w:firstLineChars="184"/>
        <w:jc w:val="left"/>
        <w:textAlignment w:val="baseline"/>
        <w:rPr>
          <w:rFonts w:ascii="宋体" w:hAnsi="宋体" w:cs="宋体"/>
          <w:spacing w:val="9"/>
          <w:szCs w:val="21"/>
        </w:rPr>
      </w:pPr>
      <w:r>
        <w:rPr>
          <w:rFonts w:hint="eastAsia" w:ascii="宋体" w:hAnsi="宋体" w:cs="宋体"/>
          <w:spacing w:val="9"/>
          <w:szCs w:val="21"/>
        </w:rPr>
        <w:t>（2）遇阴雨天及不可抗力因素影响；</w:t>
      </w:r>
    </w:p>
    <w:p w14:paraId="2B770B17">
      <w:pPr>
        <w:widowControl/>
        <w:kinsoku w:val="0"/>
        <w:autoSpaceDE w:val="0"/>
        <w:autoSpaceDN w:val="0"/>
        <w:adjustRightInd w:val="0"/>
        <w:snapToGrid w:val="0"/>
        <w:spacing w:line="360" w:lineRule="auto"/>
        <w:ind w:firstLine="419" w:firstLineChars="184"/>
        <w:jc w:val="left"/>
        <w:textAlignment w:val="baseline"/>
        <w:rPr>
          <w:rFonts w:ascii="宋体" w:hAnsi="宋体" w:cs="宋体"/>
          <w:spacing w:val="9"/>
          <w:szCs w:val="21"/>
        </w:rPr>
      </w:pPr>
      <w:r>
        <w:rPr>
          <w:rFonts w:hint="eastAsia" w:ascii="宋体" w:hAnsi="宋体" w:cs="宋体"/>
          <w:spacing w:val="9"/>
          <w:szCs w:val="21"/>
        </w:rPr>
        <w:t>（3）因人力不可抗拒的其他因素而延误工期。</w:t>
      </w:r>
    </w:p>
    <w:p w14:paraId="4D36A67D">
      <w:pPr>
        <w:widowControl/>
        <w:kinsoku w:val="0"/>
        <w:autoSpaceDE w:val="0"/>
        <w:autoSpaceDN w:val="0"/>
        <w:adjustRightInd w:val="0"/>
        <w:snapToGrid w:val="0"/>
        <w:spacing w:line="360" w:lineRule="auto"/>
        <w:textAlignment w:val="baseline"/>
        <w:outlineLvl w:val="0"/>
        <w:rPr>
          <w:rFonts w:ascii="宋体" w:hAnsi="宋体" w:cs="宋体"/>
          <w:b/>
          <w:bCs/>
          <w:spacing w:val="9"/>
          <w:sz w:val="24"/>
        </w:rPr>
      </w:pPr>
      <w:bookmarkStart w:id="4" w:name="_Toc9524"/>
      <w:r>
        <w:rPr>
          <w:rFonts w:hint="eastAsia" w:ascii="宋体" w:hAnsi="宋体" w:cs="宋体"/>
          <w:b/>
          <w:bCs/>
          <w:spacing w:val="9"/>
          <w:sz w:val="24"/>
        </w:rPr>
        <w:t>第三条：组成本合同的文件</w:t>
      </w:r>
      <w:bookmarkEnd w:id="4"/>
    </w:p>
    <w:p w14:paraId="5366C0EC">
      <w:pPr>
        <w:widowControl/>
        <w:kinsoku w:val="0"/>
        <w:autoSpaceDE w:val="0"/>
        <w:autoSpaceDN w:val="0"/>
        <w:adjustRightInd w:val="0"/>
        <w:snapToGrid w:val="0"/>
        <w:spacing w:line="360" w:lineRule="auto"/>
        <w:ind w:firstLine="428" w:firstLineChars="200"/>
        <w:textAlignment w:val="baseline"/>
        <w:rPr>
          <w:rFonts w:ascii="宋体" w:hAnsi="宋体" w:cs="宋体"/>
          <w:spacing w:val="2"/>
          <w:szCs w:val="21"/>
        </w:rPr>
      </w:pPr>
      <w:r>
        <w:rPr>
          <w:rFonts w:hint="eastAsia" w:ascii="宋体" w:hAnsi="宋体" w:cs="宋体"/>
          <w:spacing w:val="2"/>
          <w:szCs w:val="21"/>
        </w:rPr>
        <w:t>1.协议书；</w:t>
      </w:r>
    </w:p>
    <w:p w14:paraId="5E8930F4">
      <w:pPr>
        <w:widowControl/>
        <w:kinsoku w:val="0"/>
        <w:autoSpaceDE w:val="0"/>
        <w:autoSpaceDN w:val="0"/>
        <w:adjustRightInd w:val="0"/>
        <w:snapToGrid w:val="0"/>
        <w:spacing w:line="360" w:lineRule="auto"/>
        <w:ind w:firstLine="428" w:firstLineChars="200"/>
        <w:textAlignment w:val="baseline"/>
        <w:rPr>
          <w:rFonts w:ascii="宋体" w:hAnsi="宋体" w:cs="宋体"/>
          <w:spacing w:val="2"/>
          <w:szCs w:val="21"/>
        </w:rPr>
      </w:pPr>
      <w:r>
        <w:rPr>
          <w:rFonts w:hint="eastAsia" w:ascii="宋体" w:hAnsi="宋体" w:cs="宋体"/>
          <w:spacing w:val="2"/>
          <w:szCs w:val="21"/>
        </w:rPr>
        <w:t>2.成交通知书、磋商文件、响应文件、澄清、补充文件（或委托书）；</w:t>
      </w:r>
    </w:p>
    <w:p w14:paraId="59BB6F50">
      <w:pPr>
        <w:widowControl/>
        <w:kinsoku w:val="0"/>
        <w:autoSpaceDE w:val="0"/>
        <w:autoSpaceDN w:val="0"/>
        <w:adjustRightInd w:val="0"/>
        <w:snapToGrid w:val="0"/>
        <w:spacing w:line="360" w:lineRule="auto"/>
        <w:ind w:firstLine="428" w:firstLineChars="200"/>
        <w:textAlignment w:val="baseline"/>
        <w:rPr>
          <w:rFonts w:ascii="宋体" w:hAnsi="宋体" w:cs="宋体"/>
          <w:spacing w:val="2"/>
          <w:szCs w:val="21"/>
        </w:rPr>
      </w:pPr>
      <w:r>
        <w:rPr>
          <w:rFonts w:hint="eastAsia" w:ascii="宋体" w:hAnsi="宋体" w:cs="宋体"/>
          <w:spacing w:val="2"/>
          <w:szCs w:val="21"/>
        </w:rPr>
        <w:t>3.标准、规范和有关技术资料；</w:t>
      </w:r>
    </w:p>
    <w:p w14:paraId="66492BCE">
      <w:pPr>
        <w:widowControl/>
        <w:kinsoku w:val="0"/>
        <w:autoSpaceDE w:val="0"/>
        <w:autoSpaceDN w:val="0"/>
        <w:adjustRightInd w:val="0"/>
        <w:snapToGrid w:val="0"/>
        <w:spacing w:line="360" w:lineRule="auto"/>
        <w:ind w:firstLine="428" w:firstLineChars="200"/>
        <w:textAlignment w:val="baseline"/>
        <w:rPr>
          <w:rFonts w:ascii="宋体" w:hAnsi="宋体" w:cs="宋体"/>
          <w:spacing w:val="2"/>
          <w:szCs w:val="21"/>
        </w:rPr>
      </w:pPr>
      <w:r>
        <w:rPr>
          <w:rFonts w:hint="eastAsia" w:ascii="宋体" w:hAnsi="宋体" w:cs="宋体"/>
          <w:spacing w:val="2"/>
          <w:szCs w:val="21"/>
        </w:rPr>
        <w:t>4.其他有关文件。</w:t>
      </w:r>
    </w:p>
    <w:p w14:paraId="7DBA5D09">
      <w:pPr>
        <w:widowControl/>
        <w:kinsoku w:val="0"/>
        <w:autoSpaceDE w:val="0"/>
        <w:autoSpaceDN w:val="0"/>
        <w:adjustRightInd w:val="0"/>
        <w:snapToGrid w:val="0"/>
        <w:spacing w:line="360" w:lineRule="auto"/>
        <w:ind w:firstLine="428" w:firstLineChars="200"/>
        <w:textAlignment w:val="baseline"/>
        <w:rPr>
          <w:rFonts w:ascii="宋体" w:hAnsi="宋体" w:cs="宋体"/>
          <w:spacing w:val="2"/>
          <w:szCs w:val="21"/>
        </w:rPr>
      </w:pPr>
      <w:r>
        <w:rPr>
          <w:rFonts w:hint="eastAsia" w:ascii="宋体" w:hAnsi="宋体" w:cs="宋体"/>
          <w:spacing w:val="2"/>
          <w:szCs w:val="21"/>
        </w:rPr>
        <w:t>本合同签订后，双方依法签订的补充协议也是本合同文件的组成部分。</w:t>
      </w:r>
    </w:p>
    <w:p w14:paraId="487FCE21">
      <w:pPr>
        <w:widowControl/>
        <w:kinsoku w:val="0"/>
        <w:autoSpaceDE w:val="0"/>
        <w:autoSpaceDN w:val="0"/>
        <w:adjustRightInd w:val="0"/>
        <w:snapToGrid w:val="0"/>
        <w:spacing w:line="360" w:lineRule="auto"/>
        <w:textAlignment w:val="baseline"/>
        <w:outlineLvl w:val="0"/>
        <w:rPr>
          <w:rFonts w:ascii="宋体" w:hAnsi="宋体" w:cs="宋体"/>
          <w:b/>
          <w:bCs/>
          <w:sz w:val="24"/>
        </w:rPr>
      </w:pPr>
      <w:bookmarkStart w:id="5" w:name="_Toc14939"/>
      <w:r>
        <w:rPr>
          <w:rFonts w:hint="eastAsia" w:ascii="宋体" w:hAnsi="宋体" w:cs="宋体"/>
          <w:b/>
          <w:bCs/>
          <w:spacing w:val="10"/>
          <w:sz w:val="24"/>
        </w:rPr>
        <w:t>第四条：合同价款、结算及付款方式</w:t>
      </w:r>
      <w:bookmarkEnd w:id="5"/>
    </w:p>
    <w:p w14:paraId="1ADA2161">
      <w:pPr>
        <w:widowControl/>
        <w:kinsoku w:val="0"/>
        <w:autoSpaceDE w:val="0"/>
        <w:autoSpaceDN w:val="0"/>
        <w:adjustRightInd w:val="0"/>
        <w:snapToGrid w:val="0"/>
        <w:spacing w:line="360" w:lineRule="auto"/>
        <w:ind w:firstLine="448" w:firstLineChars="200"/>
        <w:textAlignment w:val="baseline"/>
        <w:rPr>
          <w:rFonts w:ascii="宋体" w:hAnsi="宋体" w:cs="宋体"/>
          <w:szCs w:val="21"/>
        </w:rPr>
      </w:pPr>
      <w:r>
        <w:rPr>
          <w:rFonts w:hint="eastAsia" w:ascii="宋体" w:hAnsi="宋体" w:cs="宋体"/>
          <w:spacing w:val="7"/>
          <w:szCs w:val="21"/>
        </w:rPr>
        <w:t>1.合同形式：固定单价合同。合同执行期间，固定单价不发生改变。</w:t>
      </w:r>
    </w:p>
    <w:p w14:paraId="57230AB9">
      <w:pPr>
        <w:widowControl/>
        <w:kinsoku w:val="0"/>
        <w:autoSpaceDE w:val="0"/>
        <w:autoSpaceDN w:val="0"/>
        <w:adjustRightInd w:val="0"/>
        <w:snapToGrid w:val="0"/>
        <w:spacing w:line="360" w:lineRule="auto"/>
        <w:ind w:firstLine="448" w:firstLineChars="200"/>
        <w:textAlignment w:val="baseline"/>
        <w:rPr>
          <w:rFonts w:ascii="宋体" w:hAnsi="宋体" w:cs="宋体"/>
          <w:spacing w:val="7"/>
          <w:szCs w:val="21"/>
        </w:rPr>
      </w:pPr>
      <w:r>
        <w:rPr>
          <w:rFonts w:hint="eastAsia" w:ascii="宋体" w:hAnsi="宋体" w:cs="宋体"/>
          <w:spacing w:val="7"/>
          <w:szCs w:val="21"/>
        </w:rPr>
        <w:t>本合同单价为全费用单价，包括施工机械使用费、人工费、材料与设备费、其他（运杂费、质检费、安装费、缺陷修复费、保险费，以及合同明示或暗示的风险、责任和义务等）以及管理费、税金、利润等所有费用，如有遗漏视为已包含。</w:t>
      </w:r>
    </w:p>
    <w:p w14:paraId="12CD1E70">
      <w:pPr>
        <w:widowControl/>
        <w:kinsoku w:val="0"/>
        <w:autoSpaceDE w:val="0"/>
        <w:autoSpaceDN w:val="0"/>
        <w:adjustRightInd w:val="0"/>
        <w:snapToGrid w:val="0"/>
        <w:spacing w:line="360" w:lineRule="auto"/>
        <w:ind w:firstLine="448" w:firstLineChars="200"/>
        <w:textAlignment w:val="baseline"/>
        <w:rPr>
          <w:rFonts w:ascii="宋体" w:hAnsi="宋体" w:cs="宋体"/>
          <w:color w:val="000000" w:themeColor="text1"/>
          <w:szCs w:val="21"/>
          <w14:textFill>
            <w14:solidFill>
              <w14:schemeClr w14:val="tx1"/>
            </w14:solidFill>
          </w14:textFill>
        </w:rPr>
      </w:pPr>
      <w:r>
        <w:rPr>
          <w:rFonts w:hint="eastAsia" w:ascii="宋体" w:hAnsi="宋体" w:cs="宋体"/>
          <w:spacing w:val="7"/>
          <w:szCs w:val="21"/>
        </w:rPr>
        <w:t>2.合同总价（大写</w:t>
      </w:r>
      <w:r>
        <w:rPr>
          <w:rFonts w:hint="eastAsia" w:ascii="宋体" w:hAnsi="宋体" w:cs="宋体"/>
          <w:spacing w:val="15"/>
          <w:szCs w:val="21"/>
        </w:rPr>
        <w:t>）</w:t>
      </w:r>
      <w:r>
        <w:rPr>
          <w:rFonts w:hint="eastAsia" w:ascii="宋体" w:hAnsi="宋体" w:cs="宋体"/>
          <w:color w:val="000000" w:themeColor="text1"/>
          <w:spacing w:val="15"/>
          <w:szCs w:val="21"/>
          <w14:textFill>
            <w14:solidFill>
              <w14:schemeClr w14:val="tx1"/>
            </w14:solidFill>
          </w14:textFill>
        </w:rPr>
        <w:t>：</w:t>
      </w:r>
      <w:r>
        <w:rPr>
          <w:rFonts w:hint="eastAsia" w:ascii="宋体" w:hAnsi="宋体" w:cs="宋体"/>
          <w:color w:val="000000" w:themeColor="text1"/>
          <w:spacing w:val="15"/>
          <w:szCs w:val="21"/>
          <w:u w:val="single"/>
          <w14:textFill>
            <w14:solidFill>
              <w14:schemeClr w14:val="tx1"/>
            </w14:solidFill>
          </w14:textFill>
        </w:rPr>
        <w:t xml:space="preserve">        </w:t>
      </w:r>
      <w:r>
        <w:rPr>
          <w:rFonts w:hint="eastAsia" w:ascii="宋体" w:hAnsi="宋体" w:cs="宋体"/>
          <w:color w:val="000000" w:themeColor="text1"/>
          <w:spacing w:val="1"/>
          <w:szCs w:val="21"/>
          <w14:textFill>
            <w14:solidFill>
              <w14:schemeClr w14:val="tx1"/>
            </w14:solidFill>
          </w14:textFill>
        </w:rPr>
        <w:t>（小写</w:t>
      </w:r>
      <w:r>
        <w:rPr>
          <w:rFonts w:hint="eastAsia" w:ascii="宋体" w:hAnsi="宋体" w:cs="宋体"/>
          <w:color w:val="000000" w:themeColor="text1"/>
          <w:spacing w:val="15"/>
          <w:szCs w:val="21"/>
          <w14:textFill>
            <w14:solidFill>
              <w14:schemeClr w14:val="tx1"/>
            </w14:solidFill>
          </w14:textFill>
        </w:rPr>
        <w:t>）：</w:t>
      </w:r>
      <w:r>
        <w:rPr>
          <w:rFonts w:hint="eastAsia" w:ascii="宋体" w:hAnsi="宋体" w:cs="宋体"/>
          <w:color w:val="000000" w:themeColor="text1"/>
          <w:spacing w:val="1"/>
          <w:szCs w:val="21"/>
          <w14:textFill>
            <w14:solidFill>
              <w14:schemeClr w14:val="tx1"/>
            </w14:solidFill>
          </w14:textFill>
        </w:rPr>
        <w:t>¥</w:t>
      </w:r>
      <w:r>
        <w:rPr>
          <w:rFonts w:hint="eastAsia" w:ascii="宋体" w:hAnsi="宋体" w:cs="宋体"/>
          <w:color w:val="000000" w:themeColor="text1"/>
          <w:spacing w:val="15"/>
          <w:szCs w:val="21"/>
          <w:u w:val="single"/>
          <w14:textFill>
            <w14:solidFill>
              <w14:schemeClr w14:val="tx1"/>
            </w14:solidFill>
          </w14:textFill>
        </w:rPr>
        <w:t xml:space="preserve">       </w:t>
      </w:r>
      <w:r>
        <w:rPr>
          <w:rFonts w:hint="eastAsia" w:ascii="宋体" w:hAnsi="宋体" w:cs="宋体"/>
          <w:color w:val="000000" w:themeColor="text1"/>
          <w:spacing w:val="1"/>
          <w:szCs w:val="21"/>
          <w14:textFill>
            <w14:solidFill>
              <w14:schemeClr w14:val="tx1"/>
            </w14:solidFill>
          </w14:textFill>
        </w:rPr>
        <w:t>元</w:t>
      </w:r>
    </w:p>
    <w:p w14:paraId="2A9E992A">
      <w:pPr>
        <w:widowControl/>
        <w:kinsoku w:val="0"/>
        <w:autoSpaceDE w:val="0"/>
        <w:autoSpaceDN w:val="0"/>
        <w:adjustRightInd w:val="0"/>
        <w:snapToGrid w:val="0"/>
        <w:spacing w:line="360" w:lineRule="auto"/>
        <w:ind w:firstLine="468" w:firstLineChars="200"/>
        <w:textAlignment w:val="baseline"/>
        <w:rPr>
          <w:rFonts w:hint="eastAsia" w:ascii="宋体" w:hAnsi="宋体" w:cs="宋体"/>
          <w:color w:val="FF0000"/>
          <w:spacing w:val="12"/>
          <w:szCs w:val="21"/>
        </w:rPr>
      </w:pPr>
      <w:r>
        <w:rPr>
          <w:rFonts w:hint="eastAsia" w:ascii="宋体" w:hAnsi="宋体" w:cs="宋体"/>
          <w:color w:val="000000" w:themeColor="text1"/>
          <w:spacing w:val="12"/>
          <w:szCs w:val="21"/>
          <w14:textFill>
            <w14:solidFill>
              <w14:schemeClr w14:val="tx1"/>
            </w14:solidFill>
          </w14:textFill>
        </w:rPr>
        <w:t>3.付款方式：</w:t>
      </w:r>
      <w:r>
        <w:rPr>
          <w:rFonts w:hint="eastAsia" w:ascii="宋体" w:hAnsi="宋体" w:cs="宋体"/>
          <w:color w:val="000000" w:themeColor="text1"/>
          <w:spacing w:val="12"/>
          <w:szCs w:val="21"/>
          <w:lang w:val="en-US" w:eastAsia="zh-CN"/>
          <w14:textFill>
            <w14:solidFill>
              <w14:schemeClr w14:val="tx1"/>
            </w14:solidFill>
          </w14:textFill>
        </w:rPr>
        <w:t>工程</w:t>
      </w:r>
      <w:r>
        <w:rPr>
          <w:rFonts w:hint="eastAsia" w:ascii="宋体" w:hAnsi="宋体" w:cs="宋体"/>
          <w:color w:val="000000" w:themeColor="text1"/>
          <w:spacing w:val="12"/>
          <w:szCs w:val="21"/>
          <w14:textFill>
            <w14:solidFill>
              <w14:schemeClr w14:val="tx1"/>
            </w14:solidFill>
          </w14:textFill>
        </w:rPr>
        <w:t>验收合格后，达到付款条件，据实结算，结算价以财政评审后的价格为准，若超过</w:t>
      </w:r>
      <w:bookmarkStart w:id="6" w:name="OLE_LINK23"/>
      <w:bookmarkStart w:id="7" w:name="OLE_LINK22"/>
      <w:r>
        <w:rPr>
          <w:rFonts w:hint="eastAsia" w:ascii="宋体" w:hAnsi="宋体" w:cs="宋体"/>
          <w:color w:val="000000" w:themeColor="text1"/>
          <w:spacing w:val="12"/>
          <w:szCs w:val="21"/>
          <w14:textFill>
            <w14:solidFill>
              <w14:schemeClr w14:val="tx1"/>
            </w14:solidFill>
          </w14:textFill>
        </w:rPr>
        <w:t>签约合同总价</w:t>
      </w:r>
      <w:bookmarkEnd w:id="6"/>
      <w:bookmarkEnd w:id="7"/>
      <w:r>
        <w:rPr>
          <w:rFonts w:hint="eastAsia" w:ascii="宋体" w:hAnsi="宋体" w:cs="宋体"/>
          <w:color w:val="000000" w:themeColor="text1"/>
          <w:spacing w:val="12"/>
          <w:szCs w:val="21"/>
          <w14:textFill>
            <w14:solidFill>
              <w14:schemeClr w14:val="tx1"/>
            </w14:solidFill>
          </w14:textFill>
        </w:rPr>
        <w:t>，则按照签约</w:t>
      </w:r>
      <w:bookmarkStart w:id="8" w:name="OLE_LINK24"/>
      <w:bookmarkStart w:id="9" w:name="OLE_LINK25"/>
      <w:r>
        <w:rPr>
          <w:rFonts w:hint="eastAsia" w:ascii="宋体" w:hAnsi="宋体" w:cs="宋体"/>
          <w:color w:val="000000" w:themeColor="text1"/>
          <w:spacing w:val="12"/>
          <w:szCs w:val="21"/>
          <w14:textFill>
            <w14:solidFill>
              <w14:schemeClr w14:val="tx1"/>
            </w14:solidFill>
          </w14:textFill>
        </w:rPr>
        <w:t>合同总价</w:t>
      </w:r>
      <w:bookmarkEnd w:id="8"/>
      <w:bookmarkEnd w:id="9"/>
      <w:r>
        <w:rPr>
          <w:rFonts w:hint="eastAsia" w:ascii="宋体" w:hAnsi="宋体" w:cs="宋体"/>
          <w:color w:val="000000" w:themeColor="text1"/>
          <w:spacing w:val="12"/>
          <w:szCs w:val="21"/>
          <w14:textFill>
            <w14:solidFill>
              <w14:schemeClr w14:val="tx1"/>
            </w14:solidFill>
          </w14:textFill>
        </w:rPr>
        <w:t>结算，30日内支付合同总价100%；若未超过签约合同总价，则按照</w:t>
      </w:r>
      <w:bookmarkStart w:id="10" w:name="OLE_LINK19"/>
      <w:bookmarkStart w:id="11" w:name="OLE_LINK18"/>
      <w:bookmarkStart w:id="12" w:name="OLE_LINK15"/>
      <w:bookmarkStart w:id="13" w:name="OLE_LINK14"/>
      <w:bookmarkStart w:id="14" w:name="OLE_LINK26"/>
      <w:bookmarkStart w:id="15" w:name="OLE_LINK27"/>
      <w:r>
        <w:rPr>
          <w:rFonts w:hint="eastAsia" w:ascii="宋体" w:hAnsi="宋体" w:cs="宋体"/>
          <w:color w:val="000000" w:themeColor="text1"/>
          <w:spacing w:val="12"/>
          <w:szCs w:val="21"/>
          <w14:textFill>
            <w14:solidFill>
              <w14:schemeClr w14:val="tx1"/>
            </w14:solidFill>
          </w14:textFill>
        </w:rPr>
        <w:t>财政评审后</w:t>
      </w:r>
      <w:bookmarkEnd w:id="10"/>
      <w:bookmarkEnd w:id="11"/>
      <w:r>
        <w:rPr>
          <w:rFonts w:hint="eastAsia" w:ascii="宋体" w:hAnsi="宋体" w:cs="宋体"/>
          <w:color w:val="000000" w:themeColor="text1"/>
          <w:spacing w:val="12"/>
          <w:szCs w:val="21"/>
          <w14:textFill>
            <w14:solidFill>
              <w14:schemeClr w14:val="tx1"/>
            </w14:solidFill>
          </w14:textFill>
        </w:rPr>
        <w:t>的价</w:t>
      </w:r>
      <w:bookmarkEnd w:id="12"/>
      <w:bookmarkEnd w:id="13"/>
      <w:r>
        <w:rPr>
          <w:rFonts w:hint="eastAsia" w:ascii="宋体" w:hAnsi="宋体" w:cs="宋体"/>
          <w:color w:val="000000" w:themeColor="text1"/>
          <w:spacing w:val="12"/>
          <w:szCs w:val="21"/>
          <w14:textFill>
            <w14:solidFill>
              <w14:schemeClr w14:val="tx1"/>
            </w14:solidFill>
          </w14:textFill>
        </w:rPr>
        <w:t>格</w:t>
      </w:r>
      <w:bookmarkEnd w:id="14"/>
      <w:bookmarkEnd w:id="15"/>
      <w:r>
        <w:rPr>
          <w:rFonts w:hint="eastAsia" w:ascii="宋体" w:hAnsi="宋体" w:cs="宋体"/>
          <w:color w:val="000000" w:themeColor="text1"/>
          <w:spacing w:val="12"/>
          <w:szCs w:val="21"/>
          <w14:textFill>
            <w14:solidFill>
              <w14:schemeClr w14:val="tx1"/>
            </w14:solidFill>
          </w14:textFill>
        </w:rPr>
        <w:t>结算</w:t>
      </w:r>
      <w:bookmarkStart w:id="16" w:name="OLE_LINK20"/>
      <w:bookmarkStart w:id="17" w:name="OLE_LINK21"/>
      <w:r>
        <w:rPr>
          <w:rFonts w:hint="eastAsia" w:ascii="宋体" w:hAnsi="宋体" w:cs="宋体"/>
          <w:color w:val="000000" w:themeColor="text1"/>
          <w:spacing w:val="12"/>
          <w:szCs w:val="21"/>
          <w14:textFill>
            <w14:solidFill>
              <w14:schemeClr w14:val="tx1"/>
            </w14:solidFill>
          </w14:textFill>
        </w:rPr>
        <w:t>，30日内支付财政评审后价格的100%</w:t>
      </w:r>
      <w:bookmarkEnd w:id="16"/>
      <w:bookmarkEnd w:id="17"/>
      <w:r>
        <w:rPr>
          <w:rFonts w:hint="eastAsia" w:ascii="宋体" w:hAnsi="宋体" w:cs="宋体"/>
          <w:color w:val="000000" w:themeColor="text1"/>
          <w:spacing w:val="12"/>
          <w:szCs w:val="21"/>
          <w14:textFill>
            <w14:solidFill>
              <w14:schemeClr w14:val="tx1"/>
            </w14:solidFill>
          </w14:textFill>
        </w:rPr>
        <w:t>。</w:t>
      </w:r>
    </w:p>
    <w:p w14:paraId="6D51C87A">
      <w:pPr>
        <w:widowControl/>
        <w:kinsoku w:val="0"/>
        <w:autoSpaceDE w:val="0"/>
        <w:autoSpaceDN w:val="0"/>
        <w:adjustRightInd w:val="0"/>
        <w:snapToGrid w:val="0"/>
        <w:spacing w:line="360" w:lineRule="auto"/>
        <w:ind w:firstLine="468" w:firstLineChars="200"/>
        <w:textAlignment w:val="baseline"/>
        <w:rPr>
          <w:rFonts w:ascii="宋体" w:hAnsi="宋体" w:cs="宋体"/>
          <w:spacing w:val="12"/>
          <w:szCs w:val="21"/>
        </w:rPr>
      </w:pPr>
      <w:r>
        <w:rPr>
          <w:rFonts w:hint="eastAsia" w:ascii="宋体" w:hAnsi="宋体" w:cs="宋体"/>
          <w:spacing w:val="12"/>
          <w:szCs w:val="21"/>
          <w:lang w:val="en-US" w:eastAsia="zh-CN"/>
        </w:rPr>
        <w:t>4.</w:t>
      </w:r>
      <w:bookmarkStart w:id="28" w:name="_GoBack"/>
      <w:bookmarkEnd w:id="28"/>
      <w:r>
        <w:rPr>
          <w:rFonts w:hint="eastAsia" w:ascii="宋体" w:hAnsi="宋体" w:cs="宋体"/>
          <w:spacing w:val="12"/>
          <w:szCs w:val="21"/>
        </w:rPr>
        <w:t>付款依据：乙方提供符合国家财税规定</w:t>
      </w:r>
      <w:r>
        <w:rPr>
          <w:rFonts w:hint="eastAsia" w:ascii="宋体" w:hAnsi="宋体" w:cs="宋体"/>
          <w:spacing w:val="12"/>
          <w:szCs w:val="21"/>
          <w:lang w:val="en-US" w:eastAsia="zh-CN"/>
        </w:rPr>
        <w:t>及甲方要求</w:t>
      </w:r>
      <w:r>
        <w:rPr>
          <w:rFonts w:hint="eastAsia" w:ascii="宋体" w:hAnsi="宋体" w:cs="宋体"/>
          <w:spacing w:val="12"/>
          <w:szCs w:val="21"/>
        </w:rPr>
        <w:t>的等额发票、甲方出具的验收报告。如因乙方缘故（如开具增值税发票延误等）导致甲方无法按时付款，甲方不承担违约责任。</w:t>
      </w:r>
      <w:r>
        <w:rPr>
          <w:rFonts w:hint="eastAsia" w:ascii="宋体" w:hAnsi="宋体" w:cs="宋体"/>
          <w:szCs w:val="21"/>
        </w:rPr>
        <w:t>付款方式：银行转账。</w:t>
      </w:r>
    </w:p>
    <w:p w14:paraId="0333EDF5">
      <w:pPr>
        <w:widowControl/>
        <w:kinsoku w:val="0"/>
        <w:autoSpaceDE w:val="0"/>
        <w:autoSpaceDN w:val="0"/>
        <w:adjustRightInd w:val="0"/>
        <w:snapToGrid w:val="0"/>
        <w:spacing w:line="360" w:lineRule="auto"/>
        <w:ind w:firstLine="448" w:firstLineChars="200"/>
        <w:textAlignment w:val="baseline"/>
        <w:rPr>
          <w:rFonts w:ascii="宋体" w:hAnsi="宋体" w:cs="宋体"/>
          <w:szCs w:val="21"/>
        </w:rPr>
      </w:pPr>
      <w:r>
        <w:rPr>
          <w:rFonts w:hint="eastAsia" w:ascii="宋体" w:hAnsi="宋体" w:cs="宋体"/>
          <w:spacing w:val="7"/>
          <w:szCs w:val="21"/>
        </w:rPr>
        <w:t>5.合同范围外变更价款调整方式：</w:t>
      </w:r>
    </w:p>
    <w:p w14:paraId="5DA7B4C3">
      <w:pPr>
        <w:widowControl/>
        <w:kinsoku w:val="0"/>
        <w:autoSpaceDE w:val="0"/>
        <w:autoSpaceDN w:val="0"/>
        <w:adjustRightInd w:val="0"/>
        <w:snapToGrid w:val="0"/>
        <w:spacing w:line="360" w:lineRule="auto"/>
        <w:ind w:firstLine="456" w:firstLineChars="200"/>
        <w:textAlignment w:val="baseline"/>
        <w:rPr>
          <w:rFonts w:ascii="宋体" w:hAnsi="宋体" w:cs="宋体"/>
          <w:szCs w:val="21"/>
        </w:rPr>
      </w:pPr>
      <w:r>
        <w:rPr>
          <w:rFonts w:hint="eastAsia" w:ascii="宋体" w:hAnsi="宋体" w:cs="宋体"/>
          <w:spacing w:val="9"/>
          <w:szCs w:val="21"/>
        </w:rPr>
        <w:t>因非乙方原因的工程变更签证，造成增加新的工程量清单项目，其对应的综合单价按下列方法确定。</w:t>
      </w:r>
    </w:p>
    <w:p w14:paraId="07E96B40">
      <w:pPr>
        <w:widowControl/>
        <w:kinsoku w:val="0"/>
        <w:autoSpaceDE w:val="0"/>
        <w:autoSpaceDN w:val="0"/>
        <w:adjustRightInd w:val="0"/>
        <w:snapToGrid w:val="0"/>
        <w:spacing w:line="360" w:lineRule="auto"/>
        <w:ind w:firstLine="456" w:firstLineChars="200"/>
        <w:textAlignment w:val="baseline"/>
        <w:rPr>
          <w:rFonts w:ascii="宋体" w:hAnsi="宋体" w:cs="宋体"/>
          <w:spacing w:val="9"/>
          <w:szCs w:val="21"/>
        </w:rPr>
      </w:pPr>
      <w:r>
        <w:rPr>
          <w:rFonts w:hint="eastAsia" w:ascii="宋体" w:hAnsi="宋体" w:cs="宋体"/>
          <w:spacing w:val="9"/>
          <w:szCs w:val="21"/>
        </w:rPr>
        <w:t>1）合同中已有适用的综合单价，按合同中已有的综合单价确定；</w:t>
      </w:r>
    </w:p>
    <w:p w14:paraId="3BEC47BD">
      <w:pPr>
        <w:widowControl/>
        <w:kinsoku w:val="0"/>
        <w:autoSpaceDE w:val="0"/>
        <w:autoSpaceDN w:val="0"/>
        <w:adjustRightInd w:val="0"/>
        <w:snapToGrid w:val="0"/>
        <w:spacing w:line="360" w:lineRule="auto"/>
        <w:ind w:firstLine="456" w:firstLineChars="200"/>
        <w:textAlignment w:val="baseline"/>
        <w:rPr>
          <w:rFonts w:ascii="宋体" w:hAnsi="宋体" w:cs="宋体"/>
          <w:spacing w:val="9"/>
          <w:szCs w:val="21"/>
        </w:rPr>
      </w:pPr>
      <w:r>
        <w:rPr>
          <w:rFonts w:hint="eastAsia" w:ascii="宋体" w:hAnsi="宋体" w:cs="宋体"/>
          <w:spacing w:val="9"/>
          <w:szCs w:val="21"/>
        </w:rPr>
        <w:t>2）合同中有类似的综合单价，参照类似的综合单价确定；</w:t>
      </w:r>
    </w:p>
    <w:p w14:paraId="659814FB">
      <w:pPr>
        <w:widowControl/>
        <w:kinsoku w:val="0"/>
        <w:autoSpaceDE w:val="0"/>
        <w:autoSpaceDN w:val="0"/>
        <w:adjustRightInd w:val="0"/>
        <w:snapToGrid w:val="0"/>
        <w:spacing w:line="360" w:lineRule="auto"/>
        <w:ind w:firstLine="456" w:firstLineChars="200"/>
        <w:textAlignment w:val="baseline"/>
        <w:rPr>
          <w:rFonts w:ascii="宋体" w:hAnsi="宋体" w:cs="宋体"/>
          <w:spacing w:val="9"/>
          <w:szCs w:val="21"/>
        </w:rPr>
      </w:pPr>
      <w:r>
        <w:rPr>
          <w:rFonts w:hint="eastAsia" w:ascii="宋体" w:hAnsi="宋体" w:cs="宋体"/>
          <w:spacing w:val="9"/>
          <w:szCs w:val="21"/>
        </w:rPr>
        <w:t>3）合同中没有适用或类似的综合单价，由乙方依据市场价提出综合单价，甲方确认。</w:t>
      </w:r>
    </w:p>
    <w:p w14:paraId="00CA9A34">
      <w:pPr>
        <w:widowControl/>
        <w:kinsoku w:val="0"/>
        <w:autoSpaceDE w:val="0"/>
        <w:autoSpaceDN w:val="0"/>
        <w:adjustRightInd w:val="0"/>
        <w:snapToGrid w:val="0"/>
        <w:spacing w:line="360" w:lineRule="auto"/>
        <w:textAlignment w:val="baseline"/>
        <w:outlineLvl w:val="0"/>
        <w:rPr>
          <w:rFonts w:ascii="宋体" w:hAnsi="宋体" w:cs="宋体"/>
          <w:b/>
          <w:bCs/>
          <w:sz w:val="24"/>
        </w:rPr>
      </w:pPr>
      <w:bookmarkStart w:id="18" w:name="_Toc21540"/>
      <w:r>
        <w:rPr>
          <w:rFonts w:hint="eastAsia" w:ascii="宋体" w:hAnsi="宋体" w:cs="宋体"/>
          <w:b/>
          <w:bCs/>
          <w:spacing w:val="9"/>
          <w:sz w:val="24"/>
        </w:rPr>
        <w:t>第五条：质量保修期</w:t>
      </w:r>
      <w:bookmarkEnd w:id="18"/>
    </w:p>
    <w:p w14:paraId="19C8397D">
      <w:pPr>
        <w:widowControl/>
        <w:kinsoku w:val="0"/>
        <w:autoSpaceDE w:val="0"/>
        <w:autoSpaceDN w:val="0"/>
        <w:adjustRightInd w:val="0"/>
        <w:snapToGrid w:val="0"/>
        <w:spacing w:line="360" w:lineRule="auto"/>
        <w:ind w:firstLine="452" w:firstLineChars="200"/>
        <w:textAlignment w:val="baseline"/>
        <w:rPr>
          <w:rFonts w:ascii="宋体" w:hAnsi="宋体" w:cs="宋体"/>
          <w:szCs w:val="21"/>
        </w:rPr>
      </w:pPr>
      <w:r>
        <w:rPr>
          <w:rFonts w:hint="eastAsia" w:ascii="宋体" w:hAnsi="宋体" w:cs="宋体"/>
          <w:spacing w:val="8"/>
          <w:szCs w:val="21"/>
        </w:rPr>
        <w:t>1.工程质量保修期为</w:t>
      </w:r>
      <w:r>
        <w:rPr>
          <w:rFonts w:hint="eastAsia" w:ascii="宋体" w:hAnsi="宋体" w:cs="宋体"/>
          <w:spacing w:val="8"/>
          <w:szCs w:val="21"/>
          <w:u w:val="single"/>
        </w:rPr>
        <w:t xml:space="preserve"> / </w:t>
      </w:r>
      <w:r>
        <w:rPr>
          <w:rFonts w:hint="eastAsia" w:ascii="宋体" w:hAnsi="宋体" w:cs="宋体"/>
          <w:spacing w:val="8"/>
          <w:szCs w:val="21"/>
        </w:rPr>
        <w:t>年，质量保修期自工程通过竣工验收之日起计算。</w:t>
      </w:r>
    </w:p>
    <w:p w14:paraId="0C7F2DF6">
      <w:pPr>
        <w:widowControl/>
        <w:kinsoku w:val="0"/>
        <w:autoSpaceDE w:val="0"/>
        <w:autoSpaceDN w:val="0"/>
        <w:adjustRightInd w:val="0"/>
        <w:snapToGrid w:val="0"/>
        <w:spacing w:line="360" w:lineRule="auto"/>
        <w:ind w:firstLine="444" w:firstLineChars="200"/>
        <w:textAlignment w:val="baseline"/>
        <w:rPr>
          <w:rFonts w:ascii="宋体" w:hAnsi="宋体" w:cs="宋体"/>
          <w:szCs w:val="21"/>
        </w:rPr>
      </w:pPr>
      <w:r>
        <w:rPr>
          <w:rFonts w:hint="eastAsia" w:ascii="宋体" w:hAnsi="宋体" w:cs="宋体"/>
          <w:spacing w:val="6"/>
          <w:szCs w:val="21"/>
        </w:rPr>
        <w:t>2.质量保修责任</w:t>
      </w:r>
    </w:p>
    <w:p w14:paraId="21F95B99">
      <w:pPr>
        <w:widowControl/>
        <w:kinsoku w:val="0"/>
        <w:autoSpaceDE w:val="0"/>
        <w:autoSpaceDN w:val="0"/>
        <w:adjustRightInd w:val="0"/>
        <w:snapToGrid w:val="0"/>
        <w:spacing w:line="360" w:lineRule="auto"/>
        <w:ind w:firstLine="456" w:firstLineChars="200"/>
        <w:textAlignment w:val="baseline"/>
        <w:rPr>
          <w:rFonts w:ascii="宋体" w:hAnsi="宋体" w:cs="宋体"/>
          <w:spacing w:val="9"/>
          <w:szCs w:val="21"/>
        </w:rPr>
      </w:pPr>
      <w:r>
        <w:rPr>
          <w:rFonts w:hint="eastAsia" w:ascii="宋体" w:hAnsi="宋体" w:cs="宋体"/>
          <w:spacing w:val="9"/>
          <w:szCs w:val="21"/>
        </w:rPr>
        <w:t>1）属于保修范围、内容的项目，乙方应当在接到保修通知之日起</w:t>
      </w:r>
      <w:r>
        <w:rPr>
          <w:rFonts w:hint="eastAsia" w:ascii="宋体" w:hAnsi="宋体" w:cs="宋体"/>
          <w:spacing w:val="9"/>
          <w:szCs w:val="21"/>
          <w:u w:val="single"/>
        </w:rPr>
        <w:t xml:space="preserve"> / </w:t>
      </w:r>
      <w:r>
        <w:rPr>
          <w:rFonts w:hint="eastAsia" w:ascii="宋体" w:hAnsi="宋体" w:cs="宋体"/>
          <w:spacing w:val="9"/>
          <w:szCs w:val="21"/>
        </w:rPr>
        <w:t>天内派人保修。乙方不在约定期限内派人保修的，甲方可以委托他人修理，由乙方支付修理费用；</w:t>
      </w:r>
    </w:p>
    <w:p w14:paraId="2455224E">
      <w:pPr>
        <w:widowControl/>
        <w:kinsoku w:val="0"/>
        <w:autoSpaceDE w:val="0"/>
        <w:autoSpaceDN w:val="0"/>
        <w:adjustRightInd w:val="0"/>
        <w:snapToGrid w:val="0"/>
        <w:spacing w:line="360" w:lineRule="auto"/>
        <w:ind w:firstLine="456" w:firstLineChars="200"/>
        <w:textAlignment w:val="baseline"/>
        <w:rPr>
          <w:rFonts w:ascii="宋体" w:hAnsi="宋体" w:cs="宋体"/>
          <w:spacing w:val="9"/>
          <w:szCs w:val="21"/>
        </w:rPr>
      </w:pPr>
      <w:r>
        <w:rPr>
          <w:rFonts w:hint="eastAsia" w:ascii="宋体" w:hAnsi="宋体" w:cs="宋体"/>
          <w:spacing w:val="9"/>
          <w:szCs w:val="21"/>
        </w:rPr>
        <w:t>2）发生紧急事故需抢修的，乙方在接到事故通知后，应当立即到达事故现场抢修；</w:t>
      </w:r>
    </w:p>
    <w:p w14:paraId="74B3BEDB">
      <w:pPr>
        <w:widowControl/>
        <w:kinsoku w:val="0"/>
        <w:autoSpaceDE w:val="0"/>
        <w:autoSpaceDN w:val="0"/>
        <w:adjustRightInd w:val="0"/>
        <w:snapToGrid w:val="0"/>
        <w:spacing w:line="360" w:lineRule="auto"/>
        <w:ind w:firstLine="456" w:firstLineChars="200"/>
        <w:textAlignment w:val="baseline"/>
        <w:rPr>
          <w:rFonts w:ascii="宋体" w:hAnsi="宋体" w:cs="宋体"/>
          <w:spacing w:val="9"/>
          <w:szCs w:val="21"/>
        </w:rPr>
      </w:pPr>
      <w:r>
        <w:rPr>
          <w:rFonts w:hint="eastAsia" w:ascii="宋体" w:hAnsi="宋体" w:cs="宋体"/>
          <w:spacing w:val="9"/>
          <w:szCs w:val="21"/>
        </w:rPr>
        <w:t>3）对于涉及结构安全的质量问题，应当按照《建设工程质量管理条例》的规定，立即向当地建设行政主管部门和有关部门报告，采取安全防范措施，乙方实施保修；</w:t>
      </w:r>
    </w:p>
    <w:p w14:paraId="1FEAB0D0">
      <w:pPr>
        <w:widowControl/>
        <w:kinsoku w:val="0"/>
        <w:autoSpaceDE w:val="0"/>
        <w:autoSpaceDN w:val="0"/>
        <w:adjustRightInd w:val="0"/>
        <w:snapToGrid w:val="0"/>
        <w:spacing w:line="360" w:lineRule="auto"/>
        <w:ind w:firstLine="456" w:firstLineChars="200"/>
        <w:textAlignment w:val="baseline"/>
        <w:rPr>
          <w:rFonts w:ascii="宋体" w:hAnsi="宋体" w:cs="宋体"/>
          <w:spacing w:val="9"/>
          <w:szCs w:val="21"/>
        </w:rPr>
      </w:pPr>
      <w:r>
        <w:rPr>
          <w:rFonts w:hint="eastAsia" w:ascii="宋体" w:hAnsi="宋体" w:cs="宋体"/>
          <w:spacing w:val="9"/>
          <w:szCs w:val="21"/>
        </w:rPr>
        <w:t>4）质量保修完成后，由</w:t>
      </w:r>
      <w:r>
        <w:rPr>
          <w:rFonts w:hint="eastAsia" w:ascii="宋体" w:hAnsi="宋体" w:cs="宋体"/>
          <w:spacing w:val="9"/>
          <w:szCs w:val="21"/>
          <w:lang w:val="en-US" w:eastAsia="zh-CN"/>
        </w:rPr>
        <w:t>甲</w:t>
      </w:r>
      <w:r>
        <w:rPr>
          <w:rFonts w:hint="eastAsia" w:ascii="宋体" w:hAnsi="宋体" w:cs="宋体"/>
          <w:spacing w:val="9"/>
          <w:szCs w:val="21"/>
        </w:rPr>
        <w:t>方组织验收。</w:t>
      </w:r>
    </w:p>
    <w:p w14:paraId="202ED1AC">
      <w:pPr>
        <w:widowControl/>
        <w:kinsoku w:val="0"/>
        <w:autoSpaceDE w:val="0"/>
        <w:autoSpaceDN w:val="0"/>
        <w:adjustRightInd w:val="0"/>
        <w:snapToGrid w:val="0"/>
        <w:spacing w:line="360" w:lineRule="auto"/>
        <w:textAlignment w:val="baseline"/>
        <w:outlineLvl w:val="0"/>
        <w:rPr>
          <w:rFonts w:ascii="宋体" w:hAnsi="宋体" w:cs="宋体"/>
          <w:b/>
          <w:bCs/>
          <w:spacing w:val="9"/>
          <w:sz w:val="24"/>
        </w:rPr>
      </w:pPr>
      <w:bookmarkStart w:id="19" w:name="_Toc7417"/>
      <w:r>
        <w:rPr>
          <w:rFonts w:hint="eastAsia" w:ascii="宋体" w:hAnsi="宋体" w:cs="宋体"/>
          <w:b/>
          <w:bCs/>
          <w:spacing w:val="9"/>
          <w:sz w:val="24"/>
        </w:rPr>
        <w:t>第六条：建筑材料、设备的供应和采购</w:t>
      </w:r>
      <w:bookmarkEnd w:id="19"/>
    </w:p>
    <w:p w14:paraId="285A6FCE">
      <w:pPr>
        <w:widowControl/>
        <w:kinsoku w:val="0"/>
        <w:autoSpaceDE w:val="0"/>
        <w:autoSpaceDN w:val="0"/>
        <w:adjustRightInd w:val="0"/>
        <w:snapToGrid w:val="0"/>
        <w:spacing w:line="360" w:lineRule="auto"/>
        <w:ind w:firstLine="444" w:firstLineChars="200"/>
        <w:textAlignment w:val="baseline"/>
        <w:rPr>
          <w:rFonts w:ascii="宋体" w:hAnsi="宋体" w:cs="宋体"/>
          <w:szCs w:val="21"/>
        </w:rPr>
      </w:pPr>
      <w:r>
        <w:rPr>
          <w:rFonts w:hint="eastAsia" w:ascii="宋体" w:hAnsi="宋体" w:cs="宋体"/>
          <w:spacing w:val="6"/>
          <w:szCs w:val="21"/>
        </w:rPr>
        <w:t>1.工程材料、设备由乙方采购。</w:t>
      </w:r>
    </w:p>
    <w:p w14:paraId="6A4DA7FE">
      <w:pPr>
        <w:widowControl/>
        <w:kinsoku w:val="0"/>
        <w:autoSpaceDE w:val="0"/>
        <w:autoSpaceDN w:val="0"/>
        <w:adjustRightInd w:val="0"/>
        <w:snapToGrid w:val="0"/>
        <w:spacing w:line="360" w:lineRule="auto"/>
        <w:ind w:firstLine="460" w:firstLineChars="200"/>
        <w:textAlignment w:val="baseline"/>
        <w:rPr>
          <w:rFonts w:ascii="宋体" w:hAnsi="宋体" w:cs="宋体"/>
          <w:szCs w:val="21"/>
        </w:rPr>
      </w:pPr>
      <w:r>
        <w:rPr>
          <w:rFonts w:hint="eastAsia" w:ascii="宋体" w:hAnsi="宋体" w:cs="宋体"/>
          <w:spacing w:val="10"/>
          <w:szCs w:val="21"/>
        </w:rPr>
        <w:t>2.乙方采购的材料、设备，必须附有产品合格证和试验报告才能用于工程，甲方认为乙方提供的材料</w:t>
      </w:r>
      <w:r>
        <w:rPr>
          <w:rFonts w:hint="eastAsia" w:ascii="宋体" w:hAnsi="宋体" w:cs="宋体"/>
          <w:spacing w:val="11"/>
          <w:szCs w:val="21"/>
        </w:rPr>
        <w:t>需要复验的，乙方应按要求提供复验报告。经复验符合质量要求的，方可用于工程；复验不符合质量要求</w:t>
      </w:r>
      <w:r>
        <w:rPr>
          <w:rFonts w:hint="eastAsia" w:ascii="宋体" w:hAnsi="宋体" w:cs="宋体"/>
          <w:spacing w:val="8"/>
          <w:szCs w:val="21"/>
        </w:rPr>
        <w:t>的，应退货处理，其复验费和退货损失由乙方承担。</w:t>
      </w:r>
    </w:p>
    <w:p w14:paraId="0B1BDDD0">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3.本项目选用的主要工程材料、设备及重要部位的装饰材料，乙方须报送甲方进行审核，甲方对选用的材料设备有认质和选用的决定权。</w:t>
      </w:r>
    </w:p>
    <w:p w14:paraId="2F916CA9">
      <w:pPr>
        <w:widowControl/>
        <w:kinsoku w:val="0"/>
        <w:autoSpaceDE w:val="0"/>
        <w:autoSpaceDN w:val="0"/>
        <w:adjustRightInd w:val="0"/>
        <w:snapToGrid w:val="0"/>
        <w:spacing w:line="360" w:lineRule="auto"/>
        <w:textAlignment w:val="baseline"/>
        <w:outlineLvl w:val="0"/>
        <w:rPr>
          <w:rFonts w:ascii="宋体" w:hAnsi="宋体" w:cs="宋体"/>
          <w:b/>
          <w:bCs/>
          <w:spacing w:val="9"/>
          <w:sz w:val="24"/>
        </w:rPr>
      </w:pPr>
      <w:bookmarkStart w:id="20" w:name="_Toc23065"/>
      <w:r>
        <w:rPr>
          <w:rFonts w:hint="eastAsia" w:ascii="宋体" w:hAnsi="宋体" w:cs="宋体"/>
          <w:b/>
          <w:bCs/>
          <w:spacing w:val="9"/>
          <w:sz w:val="24"/>
        </w:rPr>
        <w:t>第七条：项目联系人员</w:t>
      </w:r>
      <w:bookmarkEnd w:id="20"/>
    </w:p>
    <w:p w14:paraId="27B232EC">
      <w:pPr>
        <w:widowControl/>
        <w:kinsoku w:val="0"/>
        <w:autoSpaceDE w:val="0"/>
        <w:autoSpaceDN w:val="0"/>
        <w:adjustRightInd w:val="0"/>
        <w:snapToGrid w:val="0"/>
        <w:spacing w:line="360" w:lineRule="auto"/>
        <w:ind w:firstLine="419" w:firstLineChars="189"/>
        <w:textAlignment w:val="baseline"/>
        <w:rPr>
          <w:rFonts w:ascii="宋体" w:hAnsi="宋体" w:cs="宋体"/>
          <w:szCs w:val="21"/>
        </w:rPr>
      </w:pPr>
      <w:r>
        <w:rPr>
          <w:rFonts w:hint="eastAsia" w:ascii="宋体" w:hAnsi="宋体" w:cs="宋体"/>
          <w:spacing w:val="6"/>
          <w:szCs w:val="21"/>
        </w:rPr>
        <w:t>甲方：本项目拟派</w:t>
      </w:r>
      <w:r>
        <w:rPr>
          <w:rFonts w:hint="eastAsia" w:ascii="宋体" w:hAnsi="宋体" w:cs="宋体"/>
          <w:spacing w:val="6"/>
          <w:szCs w:val="21"/>
          <w:lang w:val="en-US" w:eastAsia="zh-CN"/>
        </w:rPr>
        <w:t xml:space="preserve">       </w:t>
      </w:r>
      <w:r>
        <w:rPr>
          <w:rFonts w:hint="eastAsia" w:ascii="宋体" w:hAnsi="宋体" w:cs="宋体"/>
          <w:spacing w:val="6"/>
          <w:szCs w:val="21"/>
        </w:rPr>
        <w:t>为联系人，联系电话</w:t>
      </w:r>
      <w:r>
        <w:rPr>
          <w:rFonts w:hint="eastAsia" w:ascii="宋体" w:hAnsi="宋体" w:cs="宋体"/>
          <w:spacing w:val="8"/>
          <w:szCs w:val="21"/>
        </w:rPr>
        <w:t>：，</w:t>
      </w:r>
      <w:r>
        <w:rPr>
          <w:rFonts w:hint="eastAsia" w:ascii="宋体" w:hAnsi="宋体" w:cs="宋体"/>
          <w:spacing w:val="6"/>
          <w:szCs w:val="21"/>
        </w:rPr>
        <w:t>身份证号</w:t>
      </w:r>
      <w:r>
        <w:rPr>
          <w:rFonts w:hint="eastAsia" w:ascii="宋体" w:hAnsi="宋体" w:cs="宋体"/>
          <w:spacing w:val="8"/>
          <w:szCs w:val="21"/>
        </w:rPr>
        <w:t>：</w:t>
      </w:r>
      <w:r>
        <w:rPr>
          <w:rFonts w:hint="eastAsia" w:ascii="宋体" w:hAnsi="宋体" w:cs="宋体"/>
          <w:spacing w:val="5"/>
          <w:szCs w:val="21"/>
          <w:u w:val="single"/>
        </w:rPr>
        <w:t xml:space="preserve">       ；</w:t>
      </w:r>
    </w:p>
    <w:p w14:paraId="54B3756C">
      <w:pPr>
        <w:widowControl/>
        <w:kinsoku w:val="0"/>
        <w:autoSpaceDE w:val="0"/>
        <w:autoSpaceDN w:val="0"/>
        <w:adjustRightInd w:val="0"/>
        <w:snapToGrid w:val="0"/>
        <w:spacing w:line="360" w:lineRule="auto"/>
        <w:ind w:firstLine="423" w:firstLineChars="189"/>
        <w:textAlignment w:val="baseline"/>
        <w:rPr>
          <w:rFonts w:ascii="宋体" w:hAnsi="宋体" w:cs="宋体"/>
          <w:szCs w:val="21"/>
        </w:rPr>
      </w:pPr>
      <w:r>
        <w:rPr>
          <w:rFonts w:hint="eastAsia" w:ascii="宋体" w:hAnsi="宋体" w:cs="宋体"/>
          <w:spacing w:val="7"/>
          <w:szCs w:val="21"/>
        </w:rPr>
        <w:t>乙方：本项目拟派</w:t>
      </w:r>
      <w:r>
        <w:rPr>
          <w:rFonts w:hint="eastAsia" w:ascii="宋体" w:hAnsi="宋体" w:cs="宋体"/>
          <w:spacing w:val="7"/>
          <w:szCs w:val="21"/>
          <w:lang w:val="en-US" w:eastAsia="zh-CN"/>
        </w:rPr>
        <w:t xml:space="preserve">       </w:t>
      </w:r>
      <w:r>
        <w:rPr>
          <w:rFonts w:hint="eastAsia" w:ascii="宋体" w:hAnsi="宋体" w:cs="宋体"/>
          <w:spacing w:val="7"/>
          <w:szCs w:val="21"/>
        </w:rPr>
        <w:t>为联</w:t>
      </w:r>
      <w:r>
        <w:rPr>
          <w:rFonts w:hint="eastAsia" w:ascii="宋体" w:hAnsi="宋体" w:cs="宋体"/>
          <w:spacing w:val="6"/>
          <w:szCs w:val="21"/>
        </w:rPr>
        <w:t>系人，联系电话</w:t>
      </w:r>
      <w:r>
        <w:rPr>
          <w:rFonts w:hint="eastAsia" w:ascii="宋体" w:hAnsi="宋体" w:cs="宋体"/>
          <w:spacing w:val="4"/>
          <w:szCs w:val="21"/>
        </w:rPr>
        <w:t>：，</w:t>
      </w:r>
      <w:r>
        <w:rPr>
          <w:rFonts w:hint="eastAsia" w:ascii="宋体" w:hAnsi="宋体" w:cs="宋体"/>
          <w:spacing w:val="6"/>
          <w:szCs w:val="21"/>
        </w:rPr>
        <w:t>身份证号</w:t>
      </w:r>
      <w:r>
        <w:rPr>
          <w:rFonts w:hint="eastAsia" w:ascii="宋体" w:hAnsi="宋体" w:cs="宋体"/>
          <w:spacing w:val="4"/>
          <w:szCs w:val="21"/>
        </w:rPr>
        <w:t>：</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w:t>
      </w:r>
    </w:p>
    <w:p w14:paraId="0906CAA2">
      <w:pPr>
        <w:widowControl/>
        <w:kinsoku w:val="0"/>
        <w:autoSpaceDE w:val="0"/>
        <w:autoSpaceDN w:val="0"/>
        <w:adjustRightInd w:val="0"/>
        <w:snapToGrid w:val="0"/>
        <w:spacing w:line="360" w:lineRule="auto"/>
        <w:textAlignment w:val="baseline"/>
        <w:outlineLvl w:val="0"/>
        <w:rPr>
          <w:rFonts w:ascii="宋体" w:hAnsi="宋体" w:cs="宋体"/>
          <w:b/>
          <w:bCs/>
          <w:spacing w:val="9"/>
          <w:sz w:val="24"/>
        </w:rPr>
      </w:pPr>
      <w:bookmarkStart w:id="21" w:name="_Toc3409"/>
      <w:r>
        <w:rPr>
          <w:rFonts w:hint="eastAsia" w:ascii="宋体" w:hAnsi="宋体" w:cs="宋体"/>
          <w:b/>
          <w:bCs/>
          <w:spacing w:val="9"/>
          <w:sz w:val="24"/>
        </w:rPr>
        <w:t>第八条：工程质量管理及验收</w:t>
      </w:r>
      <w:bookmarkEnd w:id="21"/>
    </w:p>
    <w:p w14:paraId="7F562B87">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1.工程具备隐蔽条件，乙方先进行自检，并在验收前 48 小时以书面形式通知甲方验收。验收合格，甲方代表在验收记录上签字后，乙方可继续施工。验收不合格，乙方予以整改后再交由甲方重新验收。</w:t>
      </w:r>
    </w:p>
    <w:p w14:paraId="07464DFC">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2.工程具备竣工验收条件，乙方按国家工程竣工验收有关规定，向甲方提供完整竣工资料及竣工验收报告， 甲方组织乙方及相关单位完成竣工验收。</w:t>
      </w:r>
    </w:p>
    <w:p w14:paraId="15A326B9">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3.符合招标文件和国家及行业规定的建筑工程质量检验评定“合格”标准。</w:t>
      </w:r>
    </w:p>
    <w:p w14:paraId="0A1577A3">
      <w:pPr>
        <w:widowControl/>
        <w:kinsoku w:val="0"/>
        <w:autoSpaceDE w:val="0"/>
        <w:autoSpaceDN w:val="0"/>
        <w:adjustRightInd w:val="0"/>
        <w:snapToGrid w:val="0"/>
        <w:spacing w:line="360" w:lineRule="auto"/>
        <w:textAlignment w:val="baseline"/>
        <w:outlineLvl w:val="0"/>
        <w:rPr>
          <w:rFonts w:ascii="宋体" w:hAnsi="宋体" w:cs="宋体"/>
          <w:b/>
          <w:bCs/>
          <w:spacing w:val="9"/>
          <w:sz w:val="24"/>
        </w:rPr>
      </w:pPr>
      <w:bookmarkStart w:id="22" w:name="_Toc24466"/>
      <w:r>
        <w:rPr>
          <w:rFonts w:hint="eastAsia" w:ascii="宋体" w:hAnsi="宋体" w:cs="宋体"/>
          <w:b/>
          <w:bCs/>
          <w:spacing w:val="9"/>
          <w:sz w:val="24"/>
        </w:rPr>
        <w:t>第九条：安全施工</w:t>
      </w:r>
      <w:bookmarkEnd w:id="22"/>
    </w:p>
    <w:p w14:paraId="483FEBD7">
      <w:pPr>
        <w:widowControl/>
        <w:kinsoku w:val="0"/>
        <w:autoSpaceDE w:val="0"/>
        <w:autoSpaceDN w:val="0"/>
        <w:adjustRightInd w:val="0"/>
        <w:snapToGrid w:val="0"/>
        <w:spacing w:line="360" w:lineRule="auto"/>
        <w:ind w:firstLine="460" w:firstLineChars="200"/>
        <w:textAlignment w:val="baseline"/>
        <w:rPr>
          <w:rFonts w:hint="default" w:ascii="宋体" w:hAnsi="宋体" w:cs="宋体" w:eastAsiaTheme="minorEastAsia"/>
          <w:spacing w:val="10"/>
          <w:szCs w:val="21"/>
          <w:lang w:val="en-US" w:eastAsia="zh-CN"/>
        </w:rPr>
      </w:pPr>
      <w:r>
        <w:rPr>
          <w:rFonts w:hint="eastAsia" w:ascii="宋体" w:hAnsi="宋体" w:cs="宋体"/>
          <w:spacing w:val="10"/>
          <w:szCs w:val="21"/>
        </w:rPr>
        <w:t>1.乙方应遵守工程建设安全生产有关管理规定，严格按安全标准组织施工，采取必要的安全防护措施，消除事故隐患。由于乙方安全措施不力造成事故的责任和因此发生的费用，由乙方承担，与甲方无关。</w:t>
      </w:r>
      <w:r>
        <w:rPr>
          <w:rFonts w:hint="eastAsia" w:ascii="宋体" w:hAnsi="宋体" w:cs="宋体"/>
          <w:spacing w:val="10"/>
          <w:szCs w:val="21"/>
          <w:lang w:val="en-US" w:eastAsia="zh-CN"/>
        </w:rPr>
        <w:t>因乙方原因致使甲方承担责任的，甲方有权向乙方追偿。</w:t>
      </w:r>
    </w:p>
    <w:p w14:paraId="41103242">
      <w:pPr>
        <w:widowControl/>
        <w:kinsoku w:val="0"/>
        <w:autoSpaceDE w:val="0"/>
        <w:autoSpaceDN w:val="0"/>
        <w:adjustRightInd w:val="0"/>
        <w:snapToGrid w:val="0"/>
        <w:spacing w:line="360" w:lineRule="auto"/>
        <w:textAlignment w:val="baseline"/>
        <w:outlineLvl w:val="0"/>
        <w:rPr>
          <w:rFonts w:ascii="宋体" w:hAnsi="宋体" w:cs="宋体"/>
          <w:b/>
          <w:bCs/>
          <w:spacing w:val="9"/>
          <w:sz w:val="24"/>
        </w:rPr>
      </w:pPr>
      <w:bookmarkStart w:id="23" w:name="_Toc25089"/>
      <w:r>
        <w:rPr>
          <w:rFonts w:hint="eastAsia" w:ascii="宋体" w:hAnsi="宋体" w:cs="宋体"/>
          <w:b/>
          <w:bCs/>
          <w:spacing w:val="9"/>
          <w:sz w:val="24"/>
        </w:rPr>
        <w:t>第十条：双方的权利和义务</w:t>
      </w:r>
      <w:bookmarkEnd w:id="23"/>
    </w:p>
    <w:p w14:paraId="44D918EA">
      <w:pPr>
        <w:widowControl/>
        <w:kinsoku w:val="0"/>
        <w:autoSpaceDE w:val="0"/>
        <w:autoSpaceDN w:val="0"/>
        <w:adjustRightInd w:val="0"/>
        <w:snapToGrid w:val="0"/>
        <w:spacing w:line="360" w:lineRule="auto"/>
        <w:ind w:firstLine="440" w:firstLineChars="200"/>
        <w:textAlignment w:val="baseline"/>
        <w:outlineLvl w:val="1"/>
        <w:rPr>
          <w:rFonts w:ascii="宋体" w:hAnsi="宋体" w:cs="宋体"/>
          <w:szCs w:val="21"/>
        </w:rPr>
      </w:pPr>
      <w:r>
        <w:rPr>
          <w:rFonts w:hint="eastAsia" w:ascii="宋体" w:hAnsi="宋体" w:cs="宋体"/>
          <w:spacing w:val="5"/>
          <w:szCs w:val="21"/>
        </w:rPr>
        <w:t>一、甲方的权利与义务</w:t>
      </w:r>
    </w:p>
    <w:p w14:paraId="2F483E67">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1）协助提供施工所需水、电、但具体费用由乙方承担；</w:t>
      </w:r>
    </w:p>
    <w:p w14:paraId="69339BDC">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2）协调处理施工现场地下管线的改造，绿化挖移；</w:t>
      </w:r>
    </w:p>
    <w:p w14:paraId="545A7F67">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3）协助切断水、电源、为乙方创造必要的施工条件；</w:t>
      </w:r>
    </w:p>
    <w:p w14:paraId="63BD684A">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4）按安全文明施工的规定，督促乙方落实安全施工、文明施工措施；</w:t>
      </w:r>
    </w:p>
    <w:p w14:paraId="51D298AA">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5）对地面破除及垃圾清运、地面建（构）筑物拆除及垃圾清运等工作提出指导性建议或意见促使施工顺利进行；</w:t>
      </w:r>
    </w:p>
    <w:p w14:paraId="7D26137A">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6）负责地面破除及垃圾清运、地面建（构）筑物拆除及垃圾清运等工作的监督、检查；</w:t>
      </w:r>
    </w:p>
    <w:p w14:paraId="36AF9988">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7）负责组织相关力量对本工程工作进行验收；</w:t>
      </w:r>
    </w:p>
    <w:p w14:paraId="7BD91A4D">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8）做好公安、城管、工商等相关部门的协调工作，保证施工顺利进行；</w:t>
      </w:r>
    </w:p>
    <w:p w14:paraId="6AD3DF0A">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9）按约定支付工程款并索取相应的发票；</w:t>
      </w:r>
    </w:p>
    <w:p w14:paraId="4237A0EF">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10）根据工程范围内地面破除及垃圾清运、地面建（构）筑物拆除及垃圾清运等工作的具体要求，安排乙方完成与上述工作有关的临时性任务。</w:t>
      </w:r>
    </w:p>
    <w:p w14:paraId="20047D27">
      <w:pPr>
        <w:widowControl/>
        <w:kinsoku w:val="0"/>
        <w:autoSpaceDE w:val="0"/>
        <w:autoSpaceDN w:val="0"/>
        <w:adjustRightInd w:val="0"/>
        <w:snapToGrid w:val="0"/>
        <w:spacing w:line="360" w:lineRule="auto"/>
        <w:ind w:firstLine="456" w:firstLineChars="200"/>
        <w:textAlignment w:val="baseline"/>
        <w:outlineLvl w:val="1"/>
        <w:rPr>
          <w:rFonts w:ascii="宋体" w:hAnsi="宋体" w:cs="宋体"/>
          <w:szCs w:val="21"/>
        </w:rPr>
      </w:pPr>
      <w:r>
        <w:rPr>
          <w:rFonts w:hint="eastAsia" w:ascii="宋体" w:hAnsi="宋体" w:cs="宋体"/>
          <w:spacing w:val="9"/>
          <w:szCs w:val="21"/>
        </w:rPr>
        <w:t>二、乙方的权利与义务</w:t>
      </w:r>
    </w:p>
    <w:p w14:paraId="606767AB">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1）乙方应设置地面破除及垃圾清运、地面建（构）筑物拆除及垃圾清运等过程中必要的办公场所，并保证所有参与上述工作的人员必须统一着装，配挂“工作人员”胸牌；</w:t>
      </w:r>
    </w:p>
    <w:p w14:paraId="71DDA511">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2）每日向甲方提供进度计划，统计报表和工程事故报告，遵守有关部门对施工场地、交通、噪音等的管理规定；</w:t>
      </w:r>
    </w:p>
    <w:p w14:paraId="5D4793FC">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3）保证施工现场清洁，负责人行道路维护工作；</w:t>
      </w:r>
    </w:p>
    <w:p w14:paraId="69900FD0">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4）按照国家及省市地面破除及垃圾清运、地面建（构）筑物拆除及垃圾清运等工作政策、法规及甲方确认的技术方案或施工方案进行文明动员、文明地面破除、文明清运；</w:t>
      </w:r>
    </w:p>
    <w:p w14:paraId="5F67551F">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5）遵守安全防护和文明施工的规定，建立健全安全防护和文明施工的制度，设专职安全员，负责维护施工现场安全，做到安全文明施工等；</w:t>
      </w:r>
    </w:p>
    <w:p w14:paraId="7BDAFCE6">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6）完善安全防护和文明施工条件，施工机械、设备须附检验报告,严格按照安全防护和文明施工的规定组织施工，采取必要的安全防护措施，消除安全事故隐患；</w:t>
      </w:r>
    </w:p>
    <w:p w14:paraId="34923974">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7）在工程实施期间，乙方应做好施工现场的安全警示标志、安全通道的合理布置、材料与设备的存放 与保管、消防设施的安全有效、施工现场的照明与防护以及政府有关部门关于安全防护、文明施工规定的其他工作；</w:t>
      </w:r>
    </w:p>
    <w:p w14:paraId="6772E648">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8）按约定收取工程款并出具相应的发票；</w:t>
      </w:r>
    </w:p>
    <w:p w14:paraId="4EE122E1">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9）工作人员应服从甲方的领导、监督和管理，遵守工作制度和纪律，依法</w:t>
      </w:r>
      <w:r>
        <w:rPr>
          <w:rFonts w:hint="eastAsia" w:ascii="宋体" w:hAnsi="宋体" w:cs="宋体"/>
          <w:spacing w:val="10"/>
          <w:szCs w:val="21"/>
          <w:lang w:val="en-US" w:eastAsia="zh-CN"/>
        </w:rPr>
        <w:t>保质保量</w:t>
      </w:r>
      <w:r>
        <w:rPr>
          <w:rFonts w:hint="eastAsia" w:ascii="宋体" w:hAnsi="宋体" w:cs="宋体"/>
          <w:spacing w:val="10"/>
          <w:szCs w:val="21"/>
        </w:rPr>
        <w:t>完成工作内容；</w:t>
      </w:r>
    </w:p>
    <w:p w14:paraId="10FC65D2">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10）施工过程中发生的各种不安全事故或人员伤亡，造成的责任、费用等由乙方完全承担；</w:t>
      </w:r>
    </w:p>
    <w:p w14:paraId="2E8A1D4B">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11）指派专职项目经理负责联系和处理工作的有关事项，参加协调会，协调合同执行过程中遇到的问题，并配备专职安全员每日巡视现场，安全员必须持证上岗；</w:t>
      </w:r>
    </w:p>
    <w:p w14:paraId="1550C772">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12）乙方应严格执行市建发【2023】152 号文，西安市住房和城乡建设局关于印发西安市建筑工程施工扬尘八个方面加严管控40条措施工作指南的通知。如不能达到相关标准则甲方结算时将对相应的相关费用予以扣除；</w:t>
      </w:r>
    </w:p>
    <w:p w14:paraId="3CC98DD0">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13）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w:t>
      </w:r>
    </w:p>
    <w:p w14:paraId="7C3CD1C7">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14）及时向甲方以书面形式汇报地面破除及垃圾清运、地面建（构）筑物拆除及垃圾清运等工作进度、工程量及安全情况；</w:t>
      </w:r>
    </w:p>
    <w:p w14:paraId="1B7102DB">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15）由乙方办理建筑垃圾排放登记及清运建筑垃圾（或与具有建筑垃圾运输资质的签署运输协议，委托清运）。</w:t>
      </w:r>
    </w:p>
    <w:p w14:paraId="319EBE78">
      <w:pPr>
        <w:widowControl/>
        <w:kinsoku w:val="0"/>
        <w:autoSpaceDE w:val="0"/>
        <w:autoSpaceDN w:val="0"/>
        <w:adjustRightInd w:val="0"/>
        <w:snapToGrid w:val="0"/>
        <w:spacing w:line="360" w:lineRule="auto"/>
        <w:ind w:firstLine="460" w:firstLineChars="200"/>
        <w:textAlignment w:val="baseline"/>
        <w:rPr>
          <w:rFonts w:ascii="宋体" w:hAnsi="宋体" w:cs="宋体"/>
          <w:spacing w:val="10"/>
          <w:szCs w:val="21"/>
        </w:rPr>
      </w:pPr>
      <w:r>
        <w:rPr>
          <w:rFonts w:hint="eastAsia" w:ascii="宋体" w:hAnsi="宋体" w:cs="宋体"/>
          <w:spacing w:val="10"/>
          <w:szCs w:val="21"/>
        </w:rPr>
        <w:t>16）</w:t>
      </w:r>
      <w:r>
        <w:rPr>
          <w:rFonts w:hint="eastAsia" w:ascii="宋体" w:hAnsi="宋体" w:cs="宋体"/>
          <w:spacing w:val="10"/>
          <w:szCs w:val="21"/>
          <w:lang w:val="en-US" w:eastAsia="zh-CN"/>
        </w:rPr>
        <w:t>按时保质保量</w:t>
      </w:r>
      <w:r>
        <w:rPr>
          <w:rFonts w:hint="eastAsia" w:ascii="宋体" w:hAnsi="宋体" w:cs="宋体"/>
          <w:spacing w:val="10"/>
          <w:szCs w:val="21"/>
        </w:rPr>
        <w:t>完成甲方交办的与工程范围内有关的其它临时性工作。</w:t>
      </w:r>
    </w:p>
    <w:p w14:paraId="4DBC8DDB">
      <w:pPr>
        <w:widowControl/>
        <w:kinsoku w:val="0"/>
        <w:autoSpaceDE w:val="0"/>
        <w:autoSpaceDN w:val="0"/>
        <w:adjustRightInd w:val="0"/>
        <w:snapToGrid w:val="0"/>
        <w:spacing w:line="360" w:lineRule="auto"/>
        <w:textAlignment w:val="baseline"/>
        <w:outlineLvl w:val="0"/>
        <w:rPr>
          <w:rFonts w:ascii="宋体" w:hAnsi="宋体" w:cs="宋体"/>
          <w:b/>
          <w:bCs/>
          <w:sz w:val="24"/>
        </w:rPr>
      </w:pPr>
      <w:bookmarkStart w:id="24" w:name="_Toc30803"/>
      <w:r>
        <w:rPr>
          <w:rFonts w:hint="eastAsia" w:ascii="宋体" w:hAnsi="宋体" w:cs="宋体"/>
          <w:b/>
          <w:bCs/>
          <w:spacing w:val="9"/>
          <w:sz w:val="24"/>
        </w:rPr>
        <w:t>第十一条：违约责任</w:t>
      </w:r>
      <w:bookmarkEnd w:id="24"/>
    </w:p>
    <w:p w14:paraId="271B3D33">
      <w:pPr>
        <w:widowControl/>
        <w:kinsoku w:val="0"/>
        <w:autoSpaceDE w:val="0"/>
        <w:autoSpaceDN w:val="0"/>
        <w:adjustRightInd w:val="0"/>
        <w:snapToGrid w:val="0"/>
        <w:spacing w:line="360" w:lineRule="auto"/>
        <w:ind w:firstLine="444" w:firstLineChars="200"/>
        <w:textAlignment w:val="baseline"/>
        <w:rPr>
          <w:rFonts w:ascii="宋体" w:hAnsi="宋体" w:cs="宋体"/>
          <w:szCs w:val="21"/>
        </w:rPr>
      </w:pPr>
      <w:r>
        <w:rPr>
          <w:rFonts w:hint="eastAsia" w:ascii="宋体" w:hAnsi="宋体" w:cs="宋体"/>
          <w:spacing w:val="6"/>
          <w:szCs w:val="21"/>
        </w:rPr>
        <w:t>1、乙方未能按时竣工的，每延期一日应按结算总价款的8‰/天向甲方支付违约金（甲方有权从未支付</w:t>
      </w:r>
      <w:r>
        <w:rPr>
          <w:rFonts w:hint="eastAsia" w:ascii="宋体" w:hAnsi="宋体" w:cs="宋体"/>
          <w:spacing w:val="7"/>
          <w:szCs w:val="21"/>
        </w:rPr>
        <w:t>款项中扣除</w:t>
      </w:r>
      <w:r>
        <w:rPr>
          <w:rFonts w:hint="eastAsia" w:ascii="宋体" w:hAnsi="宋体" w:cs="宋体"/>
          <w:spacing w:val="16"/>
          <w:szCs w:val="21"/>
        </w:rPr>
        <w:t>）；</w:t>
      </w:r>
      <w:r>
        <w:rPr>
          <w:rFonts w:hint="eastAsia" w:ascii="宋体" w:hAnsi="宋体" w:cs="宋体"/>
          <w:spacing w:val="7"/>
          <w:szCs w:val="21"/>
        </w:rPr>
        <w:t>无故延期15 日以上视为根本性违约，甲方有权解除本合同，</w:t>
      </w:r>
      <w:r>
        <w:rPr>
          <w:rFonts w:hint="eastAsia" w:ascii="宋体" w:hAnsi="宋体" w:cs="宋体"/>
          <w:spacing w:val="7"/>
          <w:szCs w:val="21"/>
          <w:lang w:val="en-US" w:eastAsia="zh-CN"/>
        </w:rPr>
        <w:t>乙方应立即组织将其相关人员及设施设备先行退出施工现场。</w:t>
      </w:r>
      <w:r>
        <w:rPr>
          <w:rFonts w:hint="eastAsia" w:ascii="宋体" w:hAnsi="宋体" w:cs="宋体"/>
          <w:spacing w:val="7"/>
          <w:szCs w:val="21"/>
        </w:rPr>
        <w:t>乙方除应全额退还甲方已支付的工程款外，还应向甲方支付违约金。</w:t>
      </w:r>
    </w:p>
    <w:p w14:paraId="6A6CD891">
      <w:pPr>
        <w:widowControl/>
        <w:kinsoku w:val="0"/>
        <w:autoSpaceDE w:val="0"/>
        <w:autoSpaceDN w:val="0"/>
        <w:adjustRightInd w:val="0"/>
        <w:snapToGrid w:val="0"/>
        <w:spacing w:line="360" w:lineRule="auto"/>
        <w:ind w:firstLine="444" w:firstLineChars="200"/>
        <w:textAlignment w:val="baseline"/>
        <w:rPr>
          <w:rFonts w:ascii="宋体" w:hAnsi="宋体" w:cs="宋体"/>
          <w:spacing w:val="6"/>
          <w:szCs w:val="21"/>
        </w:rPr>
      </w:pPr>
      <w:r>
        <w:rPr>
          <w:rFonts w:hint="eastAsia" w:ascii="宋体" w:hAnsi="宋体" w:cs="宋体"/>
          <w:spacing w:val="6"/>
          <w:szCs w:val="21"/>
        </w:rPr>
        <w:t>2、乙方在投标文件中填写的资料，属于合同文本的组成部分，乙方应全面履行其所作的承诺，否则属于乙方违约。 甲方视其违约情况，可要求乙方按 1 万元-10 万元/项的标准承担违约责任。</w:t>
      </w:r>
    </w:p>
    <w:p w14:paraId="50317C36">
      <w:pPr>
        <w:widowControl/>
        <w:kinsoku w:val="0"/>
        <w:autoSpaceDE w:val="0"/>
        <w:autoSpaceDN w:val="0"/>
        <w:adjustRightInd w:val="0"/>
        <w:snapToGrid w:val="0"/>
        <w:spacing w:line="360" w:lineRule="auto"/>
        <w:ind w:firstLine="444" w:firstLineChars="200"/>
        <w:textAlignment w:val="baseline"/>
        <w:rPr>
          <w:rFonts w:ascii="宋体" w:hAnsi="宋体" w:cs="宋体"/>
          <w:spacing w:val="6"/>
          <w:szCs w:val="21"/>
        </w:rPr>
      </w:pPr>
      <w:r>
        <w:rPr>
          <w:rFonts w:hint="eastAsia" w:ascii="宋体" w:hAnsi="宋体" w:cs="宋体"/>
          <w:spacing w:val="6"/>
          <w:szCs w:val="21"/>
        </w:rPr>
        <w:t>3、乙方主要机械设备未能按工程计划及时到场或到场设备不能正常运转以及擅自调走已进场的机械设备，应按 200 元/天·台（套）标准向甲方支付违约金；迟到或调离超过 10 天时， 甲方可自行组织采购，费用直接在支付工程款时予以扣除，同时对到场时限的延迟仍要计算违约金。</w:t>
      </w:r>
    </w:p>
    <w:p w14:paraId="11E18404">
      <w:pPr>
        <w:widowControl/>
        <w:kinsoku w:val="0"/>
        <w:autoSpaceDE w:val="0"/>
        <w:autoSpaceDN w:val="0"/>
        <w:adjustRightInd w:val="0"/>
        <w:snapToGrid w:val="0"/>
        <w:spacing w:line="360" w:lineRule="auto"/>
        <w:ind w:firstLine="444" w:firstLineChars="200"/>
        <w:textAlignment w:val="baseline"/>
        <w:rPr>
          <w:rFonts w:ascii="宋体" w:hAnsi="宋体" w:cs="宋体"/>
          <w:spacing w:val="6"/>
          <w:szCs w:val="21"/>
        </w:rPr>
      </w:pPr>
      <w:r>
        <w:rPr>
          <w:rFonts w:hint="eastAsia" w:ascii="宋体" w:hAnsi="宋体" w:cs="宋体"/>
          <w:spacing w:val="6"/>
          <w:szCs w:val="21"/>
        </w:rPr>
        <w:t>4、工程出现质量问题视为乙方严重违约，视情节轻重乙方应按工程款的 10%-30%向甲方支付违约金（甲方有权从未支付款项中扣除），此外应赔偿因此给甲方造成的损失。</w:t>
      </w:r>
    </w:p>
    <w:p w14:paraId="7A0C8923">
      <w:pPr>
        <w:widowControl/>
        <w:kinsoku w:val="0"/>
        <w:autoSpaceDE w:val="0"/>
        <w:autoSpaceDN w:val="0"/>
        <w:adjustRightInd w:val="0"/>
        <w:snapToGrid w:val="0"/>
        <w:spacing w:line="360" w:lineRule="auto"/>
        <w:ind w:firstLine="444" w:firstLineChars="200"/>
        <w:textAlignment w:val="baseline"/>
        <w:rPr>
          <w:rFonts w:ascii="宋体" w:hAnsi="宋体" w:cs="宋体"/>
          <w:spacing w:val="6"/>
          <w:szCs w:val="21"/>
        </w:rPr>
      </w:pPr>
      <w:r>
        <w:rPr>
          <w:rFonts w:hint="eastAsia" w:ascii="宋体" w:hAnsi="宋体" w:cs="宋体"/>
          <w:spacing w:val="6"/>
          <w:szCs w:val="21"/>
        </w:rPr>
        <w:t>5、乙方擅自解除或终止本合同的，应退还甲方已支付的工程费用，</w:t>
      </w:r>
      <w:r>
        <w:rPr>
          <w:rFonts w:hint="eastAsia" w:ascii="宋体" w:hAnsi="宋体" w:cs="宋体"/>
          <w:spacing w:val="7"/>
          <w:szCs w:val="21"/>
          <w:lang w:val="en-US" w:eastAsia="zh-CN"/>
        </w:rPr>
        <w:t>将其相关人员及设施设备先行退出施工现场，</w:t>
      </w:r>
      <w:r>
        <w:rPr>
          <w:rFonts w:hint="eastAsia" w:ascii="宋体" w:hAnsi="宋体" w:cs="宋体"/>
          <w:spacing w:val="6"/>
          <w:szCs w:val="21"/>
        </w:rPr>
        <w:t>并向甲方支付合同暂定总额百分之十的违约金。</w:t>
      </w:r>
    </w:p>
    <w:p w14:paraId="7ED2070A">
      <w:pPr>
        <w:widowControl/>
        <w:kinsoku w:val="0"/>
        <w:autoSpaceDE w:val="0"/>
        <w:autoSpaceDN w:val="0"/>
        <w:adjustRightInd w:val="0"/>
        <w:snapToGrid w:val="0"/>
        <w:spacing w:line="360" w:lineRule="auto"/>
        <w:textAlignment w:val="baseline"/>
        <w:outlineLvl w:val="0"/>
        <w:rPr>
          <w:rFonts w:ascii="宋体" w:hAnsi="宋体" w:cs="宋体"/>
          <w:b/>
          <w:bCs/>
          <w:sz w:val="24"/>
        </w:rPr>
      </w:pPr>
      <w:bookmarkStart w:id="25" w:name="_Toc241"/>
      <w:r>
        <w:rPr>
          <w:rFonts w:hint="eastAsia" w:ascii="宋体" w:hAnsi="宋体" w:cs="宋体"/>
          <w:b/>
          <w:bCs/>
          <w:spacing w:val="9"/>
          <w:sz w:val="24"/>
        </w:rPr>
        <w:t>第十二条：纠纷解决办法</w:t>
      </w:r>
      <w:bookmarkEnd w:id="25"/>
    </w:p>
    <w:p w14:paraId="1B5C7D0D">
      <w:pPr>
        <w:widowControl/>
        <w:kinsoku w:val="0"/>
        <w:autoSpaceDE w:val="0"/>
        <w:autoSpaceDN w:val="0"/>
        <w:adjustRightInd w:val="0"/>
        <w:snapToGrid w:val="0"/>
        <w:spacing w:line="360" w:lineRule="auto"/>
        <w:ind w:firstLine="444" w:firstLineChars="200"/>
        <w:textAlignment w:val="baseline"/>
        <w:rPr>
          <w:rFonts w:ascii="宋体" w:hAnsi="宋体" w:cs="宋体"/>
          <w:spacing w:val="6"/>
          <w:szCs w:val="21"/>
        </w:rPr>
      </w:pPr>
      <w:r>
        <w:rPr>
          <w:rFonts w:hint="eastAsia" w:ascii="宋体" w:hAnsi="宋体" w:cs="宋体"/>
          <w:spacing w:val="6"/>
          <w:szCs w:val="21"/>
        </w:rPr>
        <w:t>合同执行中发生争议的，当事人双方应协商解决。协商达不成一致时，双方均有权向甲方所在地人民法院提起诉讼。</w:t>
      </w:r>
    </w:p>
    <w:p w14:paraId="793CF124">
      <w:pPr>
        <w:widowControl/>
        <w:kinsoku w:val="0"/>
        <w:autoSpaceDE w:val="0"/>
        <w:autoSpaceDN w:val="0"/>
        <w:adjustRightInd w:val="0"/>
        <w:snapToGrid w:val="0"/>
        <w:spacing w:line="360" w:lineRule="auto"/>
        <w:textAlignment w:val="baseline"/>
        <w:outlineLvl w:val="0"/>
        <w:rPr>
          <w:rFonts w:ascii="宋体" w:hAnsi="宋体" w:cs="宋体"/>
          <w:b/>
          <w:bCs/>
          <w:spacing w:val="9"/>
          <w:sz w:val="24"/>
        </w:rPr>
      </w:pPr>
      <w:bookmarkStart w:id="26" w:name="_Toc22279"/>
      <w:r>
        <w:rPr>
          <w:rFonts w:hint="eastAsia" w:ascii="宋体" w:hAnsi="宋体" w:cs="宋体"/>
          <w:b/>
          <w:bCs/>
          <w:spacing w:val="9"/>
          <w:sz w:val="24"/>
        </w:rPr>
        <w:t>第十三条：监督和管理</w:t>
      </w:r>
      <w:bookmarkEnd w:id="26"/>
    </w:p>
    <w:p w14:paraId="68768B88">
      <w:pPr>
        <w:widowControl/>
        <w:kinsoku w:val="0"/>
        <w:autoSpaceDE w:val="0"/>
        <w:autoSpaceDN w:val="0"/>
        <w:adjustRightInd w:val="0"/>
        <w:snapToGrid w:val="0"/>
        <w:spacing w:line="360" w:lineRule="auto"/>
        <w:ind w:firstLine="446" w:firstLineChars="200"/>
        <w:textAlignment w:val="baseline"/>
        <w:rPr>
          <w:rFonts w:ascii="宋体" w:hAnsi="宋体" w:cs="宋体"/>
          <w:b/>
          <w:bCs/>
          <w:spacing w:val="6"/>
          <w:szCs w:val="21"/>
        </w:rPr>
      </w:pPr>
      <w:r>
        <w:rPr>
          <w:rFonts w:hint="eastAsia" w:ascii="宋体" w:hAnsi="宋体" w:cs="宋体"/>
          <w:b/>
          <w:bCs/>
          <w:spacing w:val="6"/>
          <w:szCs w:val="21"/>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A6CEE76">
      <w:pPr>
        <w:widowControl/>
        <w:kinsoku w:val="0"/>
        <w:autoSpaceDE w:val="0"/>
        <w:autoSpaceDN w:val="0"/>
        <w:adjustRightInd w:val="0"/>
        <w:snapToGrid w:val="0"/>
        <w:spacing w:line="360" w:lineRule="auto"/>
        <w:ind w:firstLine="444" w:firstLineChars="200"/>
        <w:textAlignment w:val="baseline"/>
        <w:rPr>
          <w:rFonts w:ascii="宋体" w:hAnsi="宋体" w:cs="宋体"/>
          <w:spacing w:val="6"/>
          <w:szCs w:val="21"/>
        </w:rPr>
      </w:pPr>
      <w:r>
        <w:rPr>
          <w:rFonts w:hint="eastAsia" w:ascii="宋体" w:hAnsi="宋体" w:cs="宋体"/>
          <w:spacing w:val="6"/>
          <w:szCs w:val="21"/>
        </w:rPr>
        <w:t>2、甲乙双方均应自觉配合有关监督管理部门对合同履行情况的监督检查，如实反映情况，提供有关资料；否则，将对有关单位、当事人按照有关规定予以处罚。</w:t>
      </w:r>
    </w:p>
    <w:p w14:paraId="3ADE683B">
      <w:pPr>
        <w:widowControl/>
        <w:kinsoku w:val="0"/>
        <w:autoSpaceDE w:val="0"/>
        <w:autoSpaceDN w:val="0"/>
        <w:adjustRightInd w:val="0"/>
        <w:snapToGrid w:val="0"/>
        <w:spacing w:line="360" w:lineRule="auto"/>
        <w:textAlignment w:val="baseline"/>
        <w:outlineLvl w:val="0"/>
        <w:rPr>
          <w:rFonts w:ascii="宋体" w:hAnsi="宋体" w:cs="宋体"/>
          <w:b/>
          <w:bCs/>
          <w:sz w:val="24"/>
        </w:rPr>
      </w:pPr>
      <w:bookmarkStart w:id="27" w:name="_Toc19682"/>
      <w:r>
        <w:rPr>
          <w:rFonts w:hint="eastAsia" w:ascii="宋体" w:hAnsi="宋体" w:cs="宋体"/>
          <w:b/>
          <w:bCs/>
          <w:spacing w:val="7"/>
          <w:sz w:val="24"/>
        </w:rPr>
        <w:t>第十四条：附则</w:t>
      </w:r>
      <w:bookmarkEnd w:id="27"/>
    </w:p>
    <w:p w14:paraId="65A7AD6E">
      <w:pPr>
        <w:widowControl/>
        <w:kinsoku w:val="0"/>
        <w:autoSpaceDE w:val="0"/>
        <w:autoSpaceDN w:val="0"/>
        <w:adjustRightInd w:val="0"/>
        <w:snapToGrid w:val="0"/>
        <w:spacing w:line="360" w:lineRule="auto"/>
        <w:ind w:firstLine="448" w:firstLineChars="200"/>
        <w:textAlignment w:val="baseline"/>
        <w:rPr>
          <w:rFonts w:hint="eastAsia" w:ascii="宋体" w:hAnsi="宋体" w:cs="宋体"/>
          <w:b w:val="0"/>
          <w:bCs w:val="0"/>
          <w:spacing w:val="7"/>
          <w:sz w:val="21"/>
          <w:szCs w:val="21"/>
          <w:lang w:val="en-US" w:eastAsia="zh-CN"/>
        </w:rPr>
      </w:pPr>
      <w:r>
        <w:rPr>
          <w:rFonts w:hint="eastAsia" w:ascii="宋体" w:hAnsi="宋体" w:cs="宋体"/>
          <w:spacing w:val="7"/>
          <w:szCs w:val="21"/>
          <w:lang w:val="en-US" w:eastAsia="zh-CN"/>
        </w:rPr>
        <w:t>1、</w:t>
      </w:r>
      <w:r>
        <w:rPr>
          <w:rFonts w:hint="eastAsia" w:ascii="宋体" w:hAnsi="宋体" w:cs="宋体"/>
          <w:b w:val="0"/>
          <w:bCs w:val="0"/>
          <w:spacing w:val="7"/>
          <w:sz w:val="21"/>
          <w:szCs w:val="21"/>
          <w:lang w:val="en-US" w:eastAsia="zh-CN"/>
        </w:rPr>
        <w:t>经双方协商一致后可对本合同进行修改或补充；对本合同的任何修改或补充，经双方签字、盖章后生效，并与本合同具有同等法律效力。</w:t>
      </w:r>
    </w:p>
    <w:p w14:paraId="64472C91">
      <w:pPr>
        <w:widowControl/>
        <w:kinsoku w:val="0"/>
        <w:autoSpaceDE w:val="0"/>
        <w:autoSpaceDN w:val="0"/>
        <w:adjustRightInd w:val="0"/>
        <w:snapToGrid w:val="0"/>
        <w:spacing w:line="360" w:lineRule="auto"/>
        <w:ind w:firstLine="448" w:firstLineChars="200"/>
        <w:textAlignment w:val="baseline"/>
        <w:rPr>
          <w:rFonts w:hint="eastAsia" w:ascii="宋体" w:hAnsi="宋体" w:cs="宋体"/>
          <w:b w:val="0"/>
          <w:bCs w:val="0"/>
          <w:spacing w:val="7"/>
          <w:sz w:val="21"/>
          <w:szCs w:val="21"/>
          <w:lang w:val="en-US" w:eastAsia="zh-CN"/>
        </w:rPr>
      </w:pPr>
      <w:r>
        <w:rPr>
          <w:rFonts w:hint="eastAsia" w:ascii="宋体" w:hAnsi="宋体" w:cs="宋体"/>
          <w:b w:val="0"/>
          <w:bCs w:val="0"/>
          <w:spacing w:val="7"/>
          <w:sz w:val="21"/>
          <w:szCs w:val="21"/>
          <w:lang w:val="en-US" w:eastAsia="zh-CN"/>
        </w:rPr>
        <w:t>2、本合同签章处所注明的双方地址为法定送达地址，若一方地址发生变化，应立即书面通知另一方，否则，对该地址进行的送达，视为合法有效送达。</w:t>
      </w:r>
    </w:p>
    <w:p w14:paraId="5C3CADAA">
      <w:pPr>
        <w:widowControl/>
        <w:kinsoku w:val="0"/>
        <w:autoSpaceDE w:val="0"/>
        <w:autoSpaceDN w:val="0"/>
        <w:adjustRightInd w:val="0"/>
        <w:snapToGrid w:val="0"/>
        <w:spacing w:line="360" w:lineRule="auto"/>
        <w:ind w:firstLine="448" w:firstLineChars="200"/>
        <w:textAlignment w:val="baseline"/>
        <w:rPr>
          <w:rFonts w:ascii="宋体" w:hAnsi="宋体" w:cs="宋体"/>
          <w:szCs w:val="21"/>
        </w:rPr>
      </w:pPr>
      <w:r>
        <w:rPr>
          <w:rFonts w:hint="eastAsia" w:ascii="宋体" w:hAnsi="宋体" w:cs="宋体"/>
          <w:spacing w:val="7"/>
          <w:szCs w:val="21"/>
          <w:lang w:val="en-US" w:eastAsia="zh-CN"/>
        </w:rPr>
        <w:t>3、</w:t>
      </w:r>
      <w:r>
        <w:rPr>
          <w:rFonts w:hint="eastAsia" w:ascii="宋体" w:hAnsi="宋体" w:cs="宋体"/>
          <w:spacing w:val="7"/>
          <w:szCs w:val="21"/>
        </w:rPr>
        <w:t>本合同一式</w:t>
      </w:r>
      <w:r>
        <w:rPr>
          <w:rFonts w:hint="eastAsia" w:ascii="宋体" w:hAnsi="宋体" w:cs="宋体"/>
          <w:spacing w:val="7"/>
          <w:szCs w:val="21"/>
          <w:lang w:val="en-US" w:eastAsia="zh-CN"/>
        </w:rPr>
        <w:t xml:space="preserve">   </w:t>
      </w:r>
      <w:r>
        <w:rPr>
          <w:rFonts w:hint="eastAsia" w:ascii="宋体" w:hAnsi="宋体" w:cs="宋体"/>
          <w:spacing w:val="7"/>
          <w:szCs w:val="21"/>
        </w:rPr>
        <w:t>份,甲乙双方各执</w:t>
      </w:r>
      <w:r>
        <w:rPr>
          <w:rFonts w:hint="eastAsia" w:ascii="宋体" w:hAnsi="宋体" w:cs="宋体"/>
          <w:spacing w:val="7"/>
          <w:szCs w:val="21"/>
          <w:lang w:val="en-US" w:eastAsia="zh-CN"/>
        </w:rPr>
        <w:t xml:space="preserve">   </w:t>
      </w:r>
      <w:r>
        <w:rPr>
          <w:rFonts w:hint="eastAsia" w:ascii="宋体" w:hAnsi="宋体" w:cs="宋体"/>
          <w:spacing w:val="7"/>
          <w:szCs w:val="21"/>
        </w:rPr>
        <w:t>份；自双方代表签字，加盖双方公章或合同专用章后生效。</w:t>
      </w:r>
    </w:p>
    <w:p w14:paraId="0D42CF4E">
      <w:pPr>
        <w:jc w:val="center"/>
        <w:rPr>
          <w:rFonts w:ascii="宋体" w:hAnsi="宋体" w:cs="宋体"/>
          <w:b/>
          <w:spacing w:val="2"/>
          <w:szCs w:val="21"/>
        </w:rPr>
      </w:pPr>
      <w:r>
        <w:rPr>
          <w:rFonts w:hint="eastAsia" w:ascii="宋体" w:hAnsi="宋体" w:cs="宋体"/>
          <w:b/>
          <w:spacing w:val="2"/>
          <w:szCs w:val="21"/>
        </w:rPr>
        <w:t>（以下无正文）</w:t>
      </w:r>
    </w:p>
    <w:p w14:paraId="68485BCA">
      <w:pPr>
        <w:rPr>
          <w:rFonts w:ascii="宋体" w:hAnsi="宋体" w:cs="宋体"/>
          <w:spacing w:val="6"/>
          <w:szCs w:val="21"/>
        </w:rPr>
      </w:pPr>
      <w:r>
        <w:rPr>
          <w:rFonts w:hint="eastAsia" w:ascii="宋体" w:hAnsi="宋体" w:cs="宋体"/>
          <w:spacing w:val="6"/>
          <w:szCs w:val="21"/>
        </w:rPr>
        <w:br w:type="page"/>
      </w:r>
    </w:p>
    <w:p w14:paraId="5175C09D">
      <w:pPr>
        <w:widowControl/>
        <w:kinsoku w:val="0"/>
        <w:autoSpaceDE w:val="0"/>
        <w:autoSpaceDN w:val="0"/>
        <w:adjustRightInd w:val="0"/>
        <w:snapToGrid w:val="0"/>
        <w:spacing w:beforeLines="100" w:line="360" w:lineRule="auto"/>
        <w:ind w:firstLine="444" w:firstLineChars="200"/>
        <w:textAlignment w:val="baseline"/>
        <w:rPr>
          <w:rFonts w:ascii="宋体" w:hAnsi="宋体" w:cs="宋体"/>
          <w:szCs w:val="21"/>
        </w:rPr>
      </w:pPr>
      <w:r>
        <w:rPr>
          <w:rFonts w:hint="eastAsia" w:ascii="宋体" w:hAnsi="宋体" w:cs="宋体"/>
          <w:spacing w:val="6"/>
          <w:szCs w:val="21"/>
        </w:rPr>
        <w:t>甲  方</w:t>
      </w:r>
      <w:r>
        <w:rPr>
          <w:rFonts w:hint="eastAsia" w:ascii="宋体" w:hAnsi="宋体" w:cs="宋体"/>
          <w:spacing w:val="-5"/>
          <w:szCs w:val="21"/>
        </w:rPr>
        <w:t>：（</w:t>
      </w:r>
      <w:r>
        <w:rPr>
          <w:rFonts w:hint="eastAsia" w:ascii="宋体" w:hAnsi="宋体" w:cs="宋体"/>
          <w:spacing w:val="6"/>
          <w:szCs w:val="21"/>
        </w:rPr>
        <w:t>公章）</w:t>
      </w:r>
      <w:r>
        <w:rPr>
          <w:rFonts w:hint="eastAsia" w:ascii="宋体" w:hAnsi="宋体" w:cs="宋体"/>
          <w:spacing w:val="6"/>
          <w:szCs w:val="21"/>
          <w:lang w:val="en-US" w:eastAsia="zh-CN"/>
        </w:rPr>
        <w:t xml:space="preserve">              </w:t>
      </w:r>
      <w:r>
        <w:rPr>
          <w:rFonts w:hint="eastAsia" w:ascii="宋体" w:hAnsi="宋体" w:cs="宋体"/>
          <w:spacing w:val="6"/>
          <w:szCs w:val="21"/>
        </w:rPr>
        <w:t>乙方</w:t>
      </w:r>
      <w:r>
        <w:rPr>
          <w:rFonts w:hint="eastAsia" w:ascii="宋体" w:hAnsi="宋体" w:cs="宋体"/>
          <w:spacing w:val="-5"/>
          <w:szCs w:val="21"/>
        </w:rPr>
        <w:t>：（</w:t>
      </w:r>
      <w:r>
        <w:rPr>
          <w:rFonts w:hint="eastAsia" w:ascii="宋体" w:hAnsi="宋体" w:cs="宋体"/>
          <w:spacing w:val="6"/>
          <w:szCs w:val="21"/>
        </w:rPr>
        <w:t>公章）</w:t>
      </w:r>
    </w:p>
    <w:p w14:paraId="37E2CF1A">
      <w:pPr>
        <w:widowControl/>
        <w:kinsoku w:val="0"/>
        <w:autoSpaceDE w:val="0"/>
        <w:autoSpaceDN w:val="0"/>
        <w:adjustRightInd w:val="0"/>
        <w:snapToGrid w:val="0"/>
        <w:spacing w:line="360" w:lineRule="auto"/>
        <w:ind w:firstLine="432" w:firstLineChars="200"/>
        <w:textAlignment w:val="baseline"/>
        <w:rPr>
          <w:rFonts w:ascii="宋体" w:hAnsi="宋体" w:cs="宋体"/>
          <w:szCs w:val="21"/>
        </w:rPr>
      </w:pPr>
      <w:r>
        <w:rPr>
          <w:rFonts w:hint="eastAsia" w:ascii="宋体" w:hAnsi="宋体" w:cs="宋体"/>
          <w:spacing w:val="3"/>
          <w:szCs w:val="21"/>
        </w:rPr>
        <w:t>地址：</w:t>
      </w:r>
      <w:r>
        <w:rPr>
          <w:rFonts w:hint="eastAsia" w:ascii="宋体" w:hAnsi="宋体" w:cs="宋体"/>
          <w:spacing w:val="3"/>
          <w:szCs w:val="21"/>
          <w:lang w:val="en-US" w:eastAsia="zh-CN"/>
        </w:rPr>
        <w:t xml:space="preserve">                         </w:t>
      </w:r>
      <w:r>
        <w:rPr>
          <w:rFonts w:hint="eastAsia" w:ascii="宋体" w:hAnsi="宋体" w:cs="宋体"/>
          <w:spacing w:val="3"/>
          <w:szCs w:val="21"/>
        </w:rPr>
        <w:t>地址：</w:t>
      </w:r>
    </w:p>
    <w:p w14:paraId="31BA9AEA">
      <w:pPr>
        <w:widowControl/>
        <w:kinsoku w:val="0"/>
        <w:autoSpaceDE w:val="0"/>
        <w:autoSpaceDN w:val="0"/>
        <w:adjustRightInd w:val="0"/>
        <w:snapToGrid w:val="0"/>
        <w:spacing w:line="360" w:lineRule="auto"/>
        <w:ind w:firstLine="436" w:firstLineChars="200"/>
        <w:textAlignment w:val="baseline"/>
        <w:rPr>
          <w:rFonts w:ascii="宋体" w:hAnsi="宋体" w:cs="宋体"/>
          <w:szCs w:val="21"/>
        </w:rPr>
      </w:pPr>
      <w:r>
        <w:rPr>
          <w:rFonts w:hint="eastAsia" w:ascii="宋体" w:hAnsi="宋体" w:cs="宋体"/>
          <w:spacing w:val="4"/>
          <w:szCs w:val="21"/>
        </w:rPr>
        <w:t>邮政编码：</w:t>
      </w:r>
      <w:r>
        <w:rPr>
          <w:rFonts w:hint="eastAsia" w:ascii="宋体" w:hAnsi="宋体" w:cs="宋体"/>
          <w:spacing w:val="4"/>
          <w:szCs w:val="21"/>
          <w:lang w:val="en-US" w:eastAsia="zh-CN"/>
        </w:rPr>
        <w:t xml:space="preserve">                     </w:t>
      </w:r>
      <w:r>
        <w:rPr>
          <w:rFonts w:hint="eastAsia" w:ascii="宋体" w:hAnsi="宋体" w:cs="宋体"/>
          <w:spacing w:val="4"/>
          <w:szCs w:val="21"/>
        </w:rPr>
        <w:t>邮政编码：</w:t>
      </w:r>
    </w:p>
    <w:p w14:paraId="2591EC77">
      <w:pPr>
        <w:widowControl/>
        <w:kinsoku w:val="0"/>
        <w:autoSpaceDE w:val="0"/>
        <w:autoSpaceDN w:val="0"/>
        <w:adjustRightInd w:val="0"/>
        <w:snapToGrid w:val="0"/>
        <w:spacing w:line="360" w:lineRule="auto"/>
        <w:ind w:firstLine="436" w:firstLineChars="200"/>
        <w:textAlignment w:val="baseline"/>
        <w:rPr>
          <w:rFonts w:ascii="宋体" w:hAnsi="宋体" w:cs="宋体"/>
          <w:szCs w:val="21"/>
        </w:rPr>
      </w:pPr>
      <w:r>
        <w:rPr>
          <w:rFonts w:hint="eastAsia" w:ascii="宋体" w:hAnsi="宋体" w:cs="宋体"/>
          <w:spacing w:val="4"/>
          <w:szCs w:val="21"/>
        </w:rPr>
        <w:t xml:space="preserve">法定代表人：     </w:t>
      </w:r>
      <w:r>
        <w:rPr>
          <w:rFonts w:hint="eastAsia" w:ascii="宋体" w:hAnsi="宋体" w:cs="宋体"/>
          <w:spacing w:val="4"/>
          <w:szCs w:val="21"/>
          <w:lang w:val="en-US" w:eastAsia="zh-CN"/>
        </w:rPr>
        <w:t xml:space="preserve">            </w:t>
      </w:r>
      <w:r>
        <w:rPr>
          <w:rFonts w:hint="eastAsia" w:ascii="宋体" w:hAnsi="宋体" w:cs="宋体"/>
          <w:spacing w:val="4"/>
          <w:szCs w:val="21"/>
        </w:rPr>
        <w:t xml:space="preserve">  法定代表人：</w:t>
      </w:r>
    </w:p>
    <w:p w14:paraId="13439D65">
      <w:pPr>
        <w:widowControl/>
        <w:kinsoku w:val="0"/>
        <w:autoSpaceDE w:val="0"/>
        <w:autoSpaceDN w:val="0"/>
        <w:adjustRightInd w:val="0"/>
        <w:snapToGrid w:val="0"/>
        <w:spacing w:line="360" w:lineRule="auto"/>
        <w:ind w:firstLine="444" w:firstLineChars="200"/>
        <w:textAlignment w:val="baseline"/>
        <w:rPr>
          <w:rFonts w:ascii="宋体" w:hAnsi="宋体" w:cs="宋体"/>
          <w:szCs w:val="21"/>
        </w:rPr>
      </w:pPr>
      <w:r>
        <w:rPr>
          <w:rFonts w:hint="eastAsia" w:ascii="宋体" w:hAnsi="宋体" w:cs="宋体"/>
          <w:spacing w:val="6"/>
          <w:szCs w:val="21"/>
        </w:rPr>
        <w:t xml:space="preserve">委托代理人：    </w:t>
      </w:r>
      <w:r>
        <w:rPr>
          <w:rFonts w:hint="eastAsia" w:ascii="宋体" w:hAnsi="宋体" w:cs="宋体"/>
          <w:spacing w:val="6"/>
          <w:szCs w:val="21"/>
          <w:lang w:val="en-US" w:eastAsia="zh-CN"/>
        </w:rPr>
        <w:t xml:space="preserve">            </w:t>
      </w:r>
      <w:r>
        <w:rPr>
          <w:rFonts w:hint="eastAsia" w:ascii="宋体" w:hAnsi="宋体" w:cs="宋体"/>
          <w:spacing w:val="6"/>
          <w:szCs w:val="21"/>
        </w:rPr>
        <w:t xml:space="preserve">  委托代理人：</w:t>
      </w:r>
    </w:p>
    <w:p w14:paraId="3F4A3574">
      <w:pPr>
        <w:ind w:firstLine="400" w:firstLineChars="200"/>
      </w:pPr>
      <w:r>
        <w:rPr>
          <w:rFonts w:ascii="宋体" w:hAnsi="宋体" w:cs="宋体"/>
          <w:spacing w:val="-5"/>
          <w:szCs w:val="21"/>
        </w:rPr>
        <w:t>电话：</w:t>
      </w:r>
      <w:r>
        <w:rPr>
          <w:rFonts w:hint="eastAsia" w:ascii="宋体" w:hAnsi="宋体" w:cs="宋体"/>
          <w:spacing w:val="-5"/>
          <w:szCs w:val="21"/>
          <w:lang w:val="en-US" w:eastAsia="zh-CN"/>
        </w:rPr>
        <w:t xml:space="preserve">                                 </w:t>
      </w:r>
      <w:r>
        <w:rPr>
          <w:rFonts w:ascii="宋体" w:hAnsi="宋体" w:cs="宋体"/>
          <w:spacing w:val="-5"/>
          <w:szCs w:val="21"/>
        </w:rPr>
        <w:t>电话：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535304"/>
    <w:rsid w:val="14874EA5"/>
    <w:rsid w:val="195E346D"/>
    <w:rsid w:val="2DEF1200"/>
    <w:rsid w:val="32F57AB7"/>
    <w:rsid w:val="35535304"/>
    <w:rsid w:val="392D406C"/>
    <w:rsid w:val="3B50303F"/>
    <w:rsid w:val="3E886713"/>
    <w:rsid w:val="3EF20030"/>
    <w:rsid w:val="41C45CB4"/>
    <w:rsid w:val="46333408"/>
    <w:rsid w:val="7DDC7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4099</Words>
  <Characters>4164</Characters>
  <Lines>0</Lines>
  <Paragraphs>0</Paragraphs>
  <TotalTime>3</TotalTime>
  <ScaleCrop>false</ScaleCrop>
  <LinksUpToDate>false</LinksUpToDate>
  <CharactersWithSpaces>4457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2025-03-19T09:25:00Z</dcterms:created>
  <dc:creator>doit</dc:creator>
  <cp:lastModifiedBy>doit</cp:lastModifiedBy>
  <dcterms:modified xsi:type="dcterms:W3CDTF">2025-03-20T08:36:27Z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9A63DC2F446E413693ECF6802374A51F_11</vt:lpwstr>
  </property>
  <property fmtid="{D5CDD505-2E9C-101B-9397-08002B2CF9AE}" pid="4" name="KSOTemplateDocerSaveRecord">
    <vt:lpwstr>eyJoZGlkIjoiNjU3ZGIwMTYyN2VhMzEyODI5YTFjODYzYmY0ZTZjNzciLCJ1c2VySWQiOiI1NDQyNTk1OTUifQ==</vt:lpwstr>
  </property>
</Properties>
</file>