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版本号：HHGJZC2025-CS26720250319001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凤城三路（图书馆）地块垃圾清运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HHGJZC2025-CS267</w:t>
      </w:r>
      <w:r>
        <w:br/>
      </w:r>
      <w:r>
        <w:br/>
      </w:r>
      <w:r>
        <w:br/>
      </w:r>
    </w:p>
    <w:p>
      <w:pPr>
        <w:pStyle w:val="null3"/>
        <w:jc w:val="center"/>
        <w:outlineLvl w:val="2"/>
      </w:pPr>
      <w:r>
        <w:rPr>
          <w:rFonts w:ascii="仿宋_GB2312" w:hAnsi="仿宋_GB2312" w:cs="仿宋_GB2312" w:eastAsia="仿宋_GB2312"/>
          <w:sz w:val="28"/>
          <w:b/>
        </w:rPr>
        <w:t>西安市未央区大明宫街道办事处</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西安市未央区大明宫街道办事处</w:t>
      </w:r>
      <w:r>
        <w:rPr>
          <w:rFonts w:ascii="仿宋_GB2312" w:hAnsi="仿宋_GB2312" w:cs="仿宋_GB2312" w:eastAsia="仿宋_GB2312"/>
        </w:rPr>
        <w:t>委托，拟对</w:t>
      </w:r>
      <w:r>
        <w:rPr>
          <w:rFonts w:ascii="仿宋_GB2312" w:hAnsi="仿宋_GB2312" w:cs="仿宋_GB2312" w:eastAsia="仿宋_GB2312"/>
        </w:rPr>
        <w:t>凤城三路（图书馆）地块垃圾清运</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HHGJZC2025-CS267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凤城三路（图书馆）地块垃圾清运</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对凤城三路以南、未央路以东、开元路以西、凤城二路以北地块土方清运工作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2、供应商资质要求：供应商具有建设行政主管部门颁发的建筑工程施工总承包三级以上(含三级)资质，且具备有效的安全生产许可证；</w:t>
      </w:r>
    </w:p>
    <w:p>
      <w:pPr>
        <w:pStyle w:val="null3"/>
      </w:pPr>
      <w:r>
        <w:rPr>
          <w:rFonts w:ascii="仿宋_GB2312" w:hAnsi="仿宋_GB2312" w:cs="仿宋_GB2312" w:eastAsia="仿宋_GB2312"/>
        </w:rPr>
        <w:t>3、拟派项目负责人资质和专业要求：拟派项目负责人具备建筑工程专业二级或以上注册建造师证书和安全生产考核合格证（B证）且在本单位注册，无不良记录，无在建项目（提供承诺书）；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西安市未央区大明宫街道办事处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西安市未央区大明宫街道凤城一路与仪凤巷十字往南100米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029-86513395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采购包1：1,008,588.32元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户名：陕西华海国际项目管理有限公司西安分公司 开户行：中国建设银行股份有限公司西安凤城四路支行 账号：61050190580000002095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西安市未央区大明宫街道办事处</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西安市未央区大明宫街道办事处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西安市未央区大明宫街道办事处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1,008,588.32</w:t>
      </w:r>
    </w:p>
    <w:p>
      <w:pPr>
        <w:pStyle w:val="null3"/>
      </w:pPr>
      <w:r>
        <w:rPr>
          <w:rFonts w:ascii="仿宋_GB2312" w:hAnsi="仿宋_GB2312" w:cs="仿宋_GB2312" w:eastAsia="仿宋_GB2312"/>
        </w:rPr>
        <w:t>采购包最高限价（元）: 1,008,588.32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凤城三路（图书馆）地块垃圾清运</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1,008,588.32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标的名称：凤城三路（图书馆）地块垃圾清运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采购需求</w:t>
            </w:r>
          </w:p>
        </w:tc>
        <w:tc>
          <w:tcPr>
            <w:tcW w:type="dxa" w:w="2076"/>
          </w:tcPr>
          <w:p>
            <w:pPr>
              <w:pStyle w:val="null3"/>
              <w:jc w:val="both"/>
            </w:pPr>
            <w:r>
              <w:rPr>
                <w:rFonts w:ascii="仿宋_GB2312" w:hAnsi="仿宋_GB2312" w:cs="仿宋_GB2312" w:eastAsia="仿宋_GB2312"/>
                <w:sz w:val="21"/>
                <w:color w:val="2E75B5"/>
              </w:rPr>
              <w:t>技术要求及工程量清单详见附件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工期</w:t>
            </w:r>
          </w:p>
        </w:tc>
        <w:tc>
          <w:tcPr>
            <w:tcW w:type="dxa" w:w="2076"/>
          </w:tcPr>
          <w:p>
            <w:pPr>
              <w:pStyle w:val="null3"/>
              <w:jc w:val="both"/>
            </w:pPr>
            <w:r>
              <w:rPr>
                <w:rFonts w:ascii="仿宋_GB2312" w:hAnsi="仿宋_GB2312" w:cs="仿宋_GB2312" w:eastAsia="仿宋_GB2312"/>
                <w:sz w:val="21"/>
                <w:color w:val="2E75B5"/>
              </w:rPr>
              <w:t>10个日历日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施工地点</w:t>
            </w:r>
          </w:p>
        </w:tc>
        <w:tc>
          <w:tcPr>
            <w:tcW w:type="dxa" w:w="2076"/>
          </w:tcPr>
          <w:p>
            <w:pPr>
              <w:pStyle w:val="null3"/>
              <w:jc w:val="both"/>
            </w:pPr>
            <w:r>
              <w:rPr>
                <w:rFonts w:ascii="仿宋_GB2312" w:hAnsi="仿宋_GB2312" w:cs="仿宋_GB2312" w:eastAsia="仿宋_GB2312"/>
                <w:sz w:val="21"/>
                <w:color w:val="2E75B5"/>
              </w:rPr>
              <w:t>采购人指定地点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报价要求</w:t>
            </w:r>
          </w:p>
        </w:tc>
        <w:tc>
          <w:tcPr>
            <w:tcW w:type="dxa" w:w="2076"/>
          </w:tcPr>
          <w:p>
            <w:pPr>
              <w:pStyle w:val="null3"/>
              <w:jc w:val="left"/>
            </w:pPr>
            <w:r>
              <w:rPr>
                <w:rFonts w:ascii="仿宋_GB2312" w:hAnsi="仿宋_GB2312" w:cs="仿宋_GB2312" w:eastAsia="仿宋_GB2312"/>
                <w:sz w:val="21"/>
                <w:color w:val="2E75B5"/>
              </w:rPr>
              <w:t>供应商报价不能超过采购预算、最高限价及以下分项限价：</w:t>
            </w:r>
          </w:p>
          <w:p>
            <w:pPr>
              <w:pStyle w:val="null3"/>
              <w:jc w:val="left"/>
            </w:pPr>
            <w:r>
              <w:rPr>
                <w:rFonts w:ascii="仿宋_GB2312" w:hAnsi="仿宋_GB2312" w:cs="仿宋_GB2312" w:eastAsia="仿宋_GB2312"/>
                <w:sz w:val="21"/>
                <w:color w:val="2E75B5"/>
              </w:rPr>
              <w:t>1.</w:t>
            </w:r>
            <w:r>
              <w:rPr>
                <w:rFonts w:ascii="仿宋_GB2312" w:hAnsi="仿宋_GB2312" w:cs="仿宋_GB2312" w:eastAsia="仿宋_GB2312"/>
                <w:sz w:val="21"/>
              </w:rPr>
              <w:t>分部分项合计</w:t>
            </w:r>
            <w:r>
              <w:rPr>
                <w:rFonts w:ascii="仿宋_GB2312" w:hAnsi="仿宋_GB2312" w:cs="仿宋_GB2312" w:eastAsia="仿宋_GB2312"/>
                <w:sz w:val="21"/>
              </w:rPr>
              <w:t xml:space="preserve"> 限价</w:t>
            </w:r>
            <w:r>
              <w:rPr>
                <w:rFonts w:ascii="仿宋_GB2312" w:hAnsi="仿宋_GB2312" w:cs="仿宋_GB2312" w:eastAsia="仿宋_GB2312"/>
                <w:sz w:val="21"/>
              </w:rPr>
              <w:t>：</w:t>
            </w:r>
            <w:r>
              <w:rPr>
                <w:rFonts w:ascii="仿宋_GB2312" w:hAnsi="仿宋_GB2312" w:cs="仿宋_GB2312" w:eastAsia="仿宋_GB2312"/>
                <w:sz w:val="21"/>
                <w:color w:val="2E75B5"/>
              </w:rPr>
              <w:t>875084.17元</w:t>
            </w:r>
          </w:p>
          <w:p>
            <w:pPr>
              <w:pStyle w:val="null3"/>
              <w:jc w:val="left"/>
            </w:pPr>
            <w:r>
              <w:rPr>
                <w:rFonts w:ascii="仿宋_GB2312" w:hAnsi="仿宋_GB2312" w:cs="仿宋_GB2312" w:eastAsia="仿宋_GB2312"/>
                <w:sz w:val="21"/>
                <w:color w:val="2E75B5"/>
              </w:rPr>
              <w:t>2.</w:t>
            </w:r>
            <w:r>
              <w:rPr>
                <w:rFonts w:ascii="仿宋_GB2312" w:hAnsi="仿宋_GB2312" w:cs="仿宋_GB2312" w:eastAsia="仿宋_GB2312"/>
                <w:sz w:val="21"/>
              </w:rPr>
              <w:t>措施项目费</w:t>
            </w:r>
            <w:r>
              <w:rPr>
                <w:rFonts w:ascii="仿宋_GB2312" w:hAnsi="仿宋_GB2312" w:cs="仿宋_GB2312" w:eastAsia="仿宋_GB2312"/>
                <w:sz w:val="21"/>
              </w:rPr>
              <w:t xml:space="preserve"> </w:t>
            </w:r>
            <w:r>
              <w:rPr>
                <w:rFonts w:ascii="仿宋_GB2312" w:hAnsi="仿宋_GB2312" w:cs="仿宋_GB2312" w:eastAsia="仿宋_GB2312"/>
                <w:sz w:val="21"/>
              </w:rPr>
              <w:t>限价：</w:t>
            </w:r>
            <w:r>
              <w:rPr>
                <w:rFonts w:ascii="仿宋_GB2312" w:hAnsi="仿宋_GB2312" w:cs="仿宋_GB2312" w:eastAsia="仿宋_GB2312"/>
                <w:sz w:val="21"/>
                <w:color w:val="2E75B5"/>
              </w:rPr>
              <w:t>51816.40元</w:t>
            </w:r>
          </w:p>
          <w:p>
            <w:pPr>
              <w:pStyle w:val="null3"/>
              <w:jc w:val="left"/>
            </w:pPr>
            <w:r>
              <w:rPr>
                <w:rFonts w:ascii="仿宋_GB2312" w:hAnsi="仿宋_GB2312" w:cs="仿宋_GB2312" w:eastAsia="仿宋_GB2312"/>
                <w:sz w:val="21"/>
              </w:rPr>
              <w:t xml:space="preserve">3.规费 </w:t>
            </w:r>
            <w:r>
              <w:rPr>
                <w:rFonts w:ascii="仿宋_GB2312" w:hAnsi="仿宋_GB2312" w:cs="仿宋_GB2312" w:eastAsia="仿宋_GB2312"/>
                <w:sz w:val="21"/>
              </w:rPr>
              <w:t>限价</w:t>
            </w:r>
            <w:r>
              <w:rPr>
                <w:rFonts w:ascii="仿宋_GB2312" w:hAnsi="仿宋_GB2312" w:cs="仿宋_GB2312" w:eastAsia="仿宋_GB2312"/>
                <w:sz w:val="21"/>
              </w:rPr>
              <w:t>：</w:t>
            </w:r>
            <w:r>
              <w:rPr>
                <w:rFonts w:ascii="仿宋_GB2312" w:hAnsi="仿宋_GB2312" w:cs="仿宋_GB2312" w:eastAsia="仿宋_GB2312"/>
                <w:sz w:val="21"/>
                <w:color w:val="2E75B5"/>
              </w:rPr>
              <w:t>44027.77元</w:t>
            </w:r>
          </w:p>
          <w:p>
            <w:pPr>
              <w:pStyle w:val="null3"/>
              <w:jc w:val="both"/>
            </w:pPr>
            <w:r>
              <w:rPr>
                <w:rFonts w:ascii="仿宋_GB2312" w:hAnsi="仿宋_GB2312" w:cs="仿宋_GB2312" w:eastAsia="仿宋_GB2312"/>
                <w:sz w:val="21"/>
                <w:color w:val="2E75B5"/>
              </w:rPr>
              <w:t>4.</w:t>
            </w:r>
            <w:r>
              <w:rPr>
                <w:rFonts w:ascii="仿宋_GB2312" w:hAnsi="仿宋_GB2312" w:cs="仿宋_GB2312" w:eastAsia="仿宋_GB2312"/>
                <w:sz w:val="21"/>
              </w:rPr>
              <w:t>安全文明施工费</w:t>
            </w:r>
            <w:r>
              <w:rPr>
                <w:rFonts w:ascii="仿宋_GB2312" w:hAnsi="仿宋_GB2312" w:cs="仿宋_GB2312" w:eastAsia="仿宋_GB2312"/>
                <w:sz w:val="21"/>
              </w:rPr>
              <w:t>限价</w:t>
            </w:r>
            <w:r>
              <w:rPr>
                <w:rFonts w:ascii="仿宋_GB2312" w:hAnsi="仿宋_GB2312" w:cs="仿宋_GB2312" w:eastAsia="仿宋_GB2312"/>
                <w:sz w:val="21"/>
              </w:rPr>
              <w:t>：</w:t>
            </w:r>
            <w:r>
              <w:rPr>
                <w:rFonts w:ascii="仿宋_GB2312" w:hAnsi="仿宋_GB2312" w:cs="仿宋_GB2312" w:eastAsia="仿宋_GB2312"/>
                <w:sz w:val="21"/>
                <w:color w:val="2E75B5"/>
              </w:rPr>
              <w:t>39064.52元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限价编制依据： 1.建设单位提供的大明宫街道凤城三路（图书馆）地块垃圾清运项目预算书，测量报告等; 2.《陕西省建设工程工程量清单计价规则（2009）》和《陕西省建筑装饰、安装工程消耗量定额（2004）》及其补充定额和《陕西省建筑装饰、安装工程价目表(2009）》及与其相配套的费用定额；《陕西省建设工程工程量清单计价规则（2004）》和《陕西省建筑装饰、安装工程消耗量定额（2006）》及其补充定额。 3.本工程人工费执行陕建发【2021】1097号《关于调整房屋建筑和市政基础设施工程工程量清单计价综合人工单价的通知》。 4.税率执行陕建发【2019】45号文件《陕西省住房和城乡建设厅关于重新调整建设工程计价依据增值税税率的通知》。 5.安全文明施工措施费执行陕建发【2019】1246号《关于发布我省落实建筑工人实名制管理计价依据的通知》。 6.本工程规费执行陕建发【2020】1097号《关于建筑施工安全生产责任保险费用计价的通知》； 7.本工程劳保统筹基金执行陕建发【2021】1021号《关于全省统一停止收缴建筑业劳保费用的通知》； 8.主要地材材料价格参考2025年第1期执行，其他参考市场询价计入本预算； 9.清单综合单价根据设计图纸综合考虑施工现场情况、工程特点及常规施工方案； 10.本工程版本号：广联达云计价平台GCCP6.0陕西地区(6.4100.23.122）。 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供应商具有建设行政主管部门颁发的建筑工程施工总承包三级以上(含三级)资质，且具备有效的安全生产许可证；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拟派项目负责人具备建筑工程专业二级或以上注册建造师证书和安全生产考核合格证（B证）且在本单位注册，无不良记录，无在建项目（提供承诺书）；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已标价工程量清单 资格证明文件 业绩证明材料 中小企业声明函 残疾人福利性单位声明函 技术方案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 合同条款响应</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土方清运总体方案</w:t>
            </w:r>
          </w:p>
        </w:tc>
        <w:tc>
          <w:tcPr>
            <w:tcW w:type="dxa" w:w="2492"/>
          </w:tcPr>
          <w:p>
            <w:pPr>
              <w:pStyle w:val="null3"/>
            </w:pPr>
            <w:r>
              <w:rPr>
                <w:rFonts w:ascii="仿宋_GB2312" w:hAnsi="仿宋_GB2312" w:cs="仿宋_GB2312" w:eastAsia="仿宋_GB2312"/>
              </w:rPr>
              <w:t>针对本项目提供土方清运总体方案，包括但不限于①施工准备阶段方案、②施工方法、③重点难点工程分析及解决措施、④运输管理方案、⑤影响正常施工外在因素 分析及对应预案等方案各部分内容全面详细、阐述条理清晰详尽符合本项需求得10分；以上评审内容每缺一项扣2分；评审内容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安全生产技术组织措施内容至少包括①安全生产管理制度;②配置安全组织机构;③安全隐患排查、整改制度;④应急救援机制；⑤人身意外伤害保障措施及安全事故善 后承诺等。方案各部分内容全面详细、阐述条理清晰详尽符合本项需求得10分；以上评审内容每缺一项扣2分；评审内容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②防尘降噪措施;③减排措施;④文明及环境保护施工监督检查机制等。方案各部分内容全面详细、阐述条理清晰详尽符合本项需求得4分；以上评审内容每缺一项扣1分；评审内容有缺陷（缺陷是指：内容粗略、逻辑混乱、描述过于简单、与项目特点不匹配、凭空编造、逻辑漏洞、出现常 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施工组织和项目管理机构内容至少包括①项目管理机构图;②岗位安排及职责；③管理制度;④相应的协调措施等。方案各部分内容全面详细、阐述条理清晰详尽符合本项 需求得4分；以上评审内容每缺一项扣1分；评审内容有缺陷（缺陷是指：内容粗略、逻辑混乱、描述过于简 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施工部署与进度计划内容至少包括①施工总平面布置；②进度安排计划;③工期目标控制和保证措施。方案各部分内容全面详细、阐述条理清晰详尽符合本项 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施工机械配置</w:t>
            </w:r>
          </w:p>
        </w:tc>
        <w:tc>
          <w:tcPr>
            <w:tcW w:type="dxa" w:w="2492"/>
          </w:tcPr>
          <w:p>
            <w:pPr>
              <w:pStyle w:val="null3"/>
            </w:pPr>
            <w:r>
              <w:rPr>
                <w:rFonts w:ascii="仿宋_GB2312" w:hAnsi="仿宋_GB2312" w:cs="仿宋_GB2312" w:eastAsia="仿宋_GB2312"/>
              </w:rPr>
              <w:t>施工机械配置内容至少包括①施工机械配置计划；②施工机械的维护保养③施工机械贮存;④施工机械监督和检查。方案各部分内容全面详细、阐述条理清晰详尽符合本项 需求得8分；以上评审内容每缺一项扣2分；评审内容 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针对本项目提供应急预案，包括但不限于①突发事件处理、②恶劣天气影响、③设施设备维修等 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针对本项目提供服务承诺，包括但不限于①服务周期承诺；②服务质量承诺等方案各部分内容全面详细、阐述条理清晰详尽符合本项 需求得2分；以上评审内容每缺一项扣1分；评审内容有缺陷（缺陷是指：内容粗略、逻辑混乱、描述过于简单、与项目特点不匹配、凭空编造、逻辑漏洞、出现 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供应商具有2021年1月1日至今（以合同签订时间为准）类似项目业绩，磋商文件中提供合同复印件加盖公章,每提供一个计2分，满分4分。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评标价=最后报价×（1-3%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