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版本号：ZJXG202502220250324001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西安110千伏文景变文勘清表土方外运工程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ZJXG2025022</w:t>
      </w:r>
      <w:r>
        <w:br/>
      </w:r>
      <w:r>
        <w:br/>
      </w:r>
      <w:r>
        <w:br/>
      </w:r>
    </w:p>
    <w:p>
      <w:pPr>
        <w:pStyle w:val="null3"/>
        <w:jc w:val="center"/>
        <w:outlineLvl w:val="2"/>
      </w:pPr>
      <w:r>
        <w:rPr>
          <w:rFonts w:ascii="仿宋_GB2312" w:hAnsi="仿宋_GB2312" w:cs="仿宋_GB2312" w:eastAsia="仿宋_GB2312"/>
          <w:sz w:val="28"/>
          <w:b/>
        </w:rPr>
        <w:t>西安市未央区未央宫街道办事处</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西安市未央区未央宫街道办事处</w:t>
      </w:r>
      <w:r>
        <w:rPr>
          <w:rFonts w:ascii="仿宋_GB2312" w:hAnsi="仿宋_GB2312" w:cs="仿宋_GB2312" w:eastAsia="仿宋_GB2312"/>
        </w:rPr>
        <w:t>委托，拟对</w:t>
      </w:r>
      <w:r>
        <w:rPr>
          <w:rFonts w:ascii="仿宋_GB2312" w:hAnsi="仿宋_GB2312" w:cs="仿宋_GB2312" w:eastAsia="仿宋_GB2312"/>
        </w:rPr>
        <w:t>西安110千伏文景变文勘清表土方外运工程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西安110千伏文景变文勘清表土方外运工程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西安110千伏文景变文勘清表土方外运工程，详见工程量清单及图纸。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采购包1（西安110千伏文景变文勘清表土方外运工程）：属于专门面向中小企业采购。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10、资质等级：供应商须具备建筑工程施工总承包三级及以上资质，同时具备建设行政主管部门核发有效的安全生产许可证。供应商需在项目电子化交易系统中按要求上传相应证明文件并进行电子签章。</w:t>
      </w:r>
    </w:p>
    <w:p>
      <w:pPr>
        <w:pStyle w:val="null3"/>
      </w:pPr>
      <w:r>
        <w:rPr>
          <w:rFonts w:ascii="仿宋_GB2312" w:hAnsi="仿宋_GB2312" w:cs="仿宋_GB2312" w:eastAsia="仿宋_GB2312"/>
        </w:rPr>
        <w:t>11、项目经理：拟派项目经理须具备建筑工程专业二级及以上注册建造师资格，并具有有效的安全生产考核合格证（B证），本单位注册且无在建项目（须提供无在建项目的相关证明材料或承诺书）。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13、其他要求：单位负责人为同一人或者存在直接控股、管理关系的不同供应商不得参加同一合同项下的政府采购活动；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西安市未央区未央宫街道办事处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北二环西段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西安市未央区未央宫街道办事处经办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029-86312874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采购包1：1,203,380.15元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标准收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西安市未央区未央宫街道办事处</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西安市未央区未央宫街道办事处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西安市未央区未央宫街道办事处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1,203,380.15</w:t>
      </w:r>
    </w:p>
    <w:p>
      <w:pPr>
        <w:pStyle w:val="null3"/>
      </w:pPr>
      <w:r>
        <w:rPr>
          <w:rFonts w:ascii="仿宋_GB2312" w:hAnsi="仿宋_GB2312" w:cs="仿宋_GB2312" w:eastAsia="仿宋_GB2312"/>
        </w:rPr>
        <w:t>采购包最高限价（元）: 1,203,380.15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西安110千伏文景变文勘清表土方外运工程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1,203,380.15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标的名称：西安110千伏文景变文勘清表土方外运工程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50" w:after="465"/>
              <w:jc w:val="center"/>
            </w:pPr>
            <w:r>
              <w:rPr>
                <w:rFonts w:ascii="仿宋_GB2312" w:hAnsi="仿宋_GB2312" w:cs="仿宋_GB2312" w:eastAsia="仿宋_GB2312"/>
                <w:sz w:val="36"/>
                <w:b/>
              </w:rPr>
              <w:t>编</w:t>
            </w:r>
            <w:r>
              <w:rPr>
                <w:rFonts w:ascii="仿宋_GB2312" w:hAnsi="仿宋_GB2312" w:cs="仿宋_GB2312" w:eastAsia="仿宋_GB2312"/>
                <w:sz w:val="21"/>
                <w:b/>
              </w:rPr>
              <w:t xml:space="preserve"> </w:t>
            </w:r>
            <w:r>
              <w:rPr>
                <w:rFonts w:ascii="仿宋_GB2312" w:hAnsi="仿宋_GB2312" w:cs="仿宋_GB2312" w:eastAsia="仿宋_GB2312"/>
                <w:sz w:val="36"/>
                <w:b/>
              </w:rPr>
              <w:t>制</w:t>
            </w:r>
            <w:r>
              <w:rPr>
                <w:rFonts w:ascii="仿宋_GB2312" w:hAnsi="仿宋_GB2312" w:cs="仿宋_GB2312" w:eastAsia="仿宋_GB2312"/>
                <w:sz w:val="21"/>
                <w:b/>
              </w:rPr>
              <w:t xml:space="preserve"> </w:t>
            </w:r>
            <w:r>
              <w:rPr>
                <w:rFonts w:ascii="仿宋_GB2312" w:hAnsi="仿宋_GB2312" w:cs="仿宋_GB2312" w:eastAsia="仿宋_GB2312"/>
                <w:sz w:val="36"/>
                <w:b/>
              </w:rPr>
              <w:t>说</w:t>
            </w:r>
            <w:r>
              <w:rPr>
                <w:rFonts w:ascii="仿宋_GB2312" w:hAnsi="仿宋_GB2312" w:cs="仿宋_GB2312" w:eastAsia="仿宋_GB2312"/>
                <w:sz w:val="21"/>
                <w:b/>
              </w:rPr>
              <w:t xml:space="preserve"> </w:t>
            </w:r>
            <w:r>
              <w:rPr>
                <w:rFonts w:ascii="仿宋_GB2312" w:hAnsi="仿宋_GB2312" w:cs="仿宋_GB2312" w:eastAsia="仿宋_GB2312"/>
                <w:sz w:val="36"/>
                <w:b/>
              </w:rPr>
              <w:t>明</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工程名称：西安</w:t>
            </w:r>
            <w:r>
              <w:rPr>
                <w:rFonts w:ascii="仿宋_GB2312" w:hAnsi="仿宋_GB2312" w:cs="仿宋_GB2312" w:eastAsia="仿宋_GB2312"/>
                <w:sz w:val="24"/>
              </w:rPr>
              <w:t>110</w:t>
            </w:r>
            <w:r>
              <w:rPr>
                <w:rFonts w:ascii="仿宋_GB2312" w:hAnsi="仿宋_GB2312" w:cs="仿宋_GB2312" w:eastAsia="仿宋_GB2312"/>
                <w:sz w:val="24"/>
              </w:rPr>
              <w:t>千伏文景变文勘清表土方外运工程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工程地点：</w:t>
            </w:r>
            <w:r>
              <w:rPr>
                <w:rFonts w:ascii="仿宋_GB2312" w:hAnsi="仿宋_GB2312" w:cs="仿宋_GB2312" w:eastAsia="仿宋_GB2312"/>
                <w:sz w:val="24"/>
              </w:rPr>
              <w:t>陕西省</w:t>
            </w:r>
            <w:r>
              <w:rPr>
                <w:rFonts w:ascii="仿宋_GB2312" w:hAnsi="仿宋_GB2312" w:cs="仿宋_GB2312" w:eastAsia="仿宋_GB2312"/>
                <w:sz w:val="24"/>
              </w:rPr>
              <w:t>西安市</w:t>
            </w:r>
            <w:r>
              <w:rPr>
                <w:rFonts w:ascii="仿宋_GB2312" w:hAnsi="仿宋_GB2312" w:cs="仿宋_GB2312" w:eastAsia="仿宋_GB2312"/>
                <w:sz w:val="24"/>
              </w:rPr>
              <w:t>未央区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工程内容：</w:t>
            </w:r>
            <w:r>
              <w:rPr>
                <w:rFonts w:ascii="仿宋_GB2312" w:hAnsi="仿宋_GB2312" w:cs="仿宋_GB2312" w:eastAsia="仿宋_GB2312"/>
                <w:sz w:val="24"/>
              </w:rPr>
              <w:t>主要包括土方开挖及外运、砼地面开挖回填及硬化</w:t>
            </w:r>
            <w:r>
              <w:rPr>
                <w:rFonts w:ascii="仿宋_GB2312" w:hAnsi="仿宋_GB2312" w:cs="仿宋_GB2312" w:eastAsia="仿宋_GB2312"/>
                <w:sz w:val="24"/>
              </w:rPr>
              <w:t>等工程，</w:t>
            </w:r>
            <w:r>
              <w:rPr>
                <w:rFonts w:ascii="仿宋_GB2312" w:hAnsi="仿宋_GB2312" w:cs="仿宋_GB2312" w:eastAsia="仿宋_GB2312"/>
                <w:sz w:val="24"/>
              </w:rPr>
              <w:t>详见工程量清单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二、编制依据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2009</w:t>
            </w:r>
            <w:r>
              <w:rPr>
                <w:rFonts w:ascii="仿宋_GB2312" w:hAnsi="仿宋_GB2312" w:cs="仿宋_GB2312" w:eastAsia="仿宋_GB2312"/>
                <w:sz w:val="24"/>
              </w:rPr>
              <w:t>）》和《陕西省建筑装饰、安装工程消耗量定额（</w:t>
            </w:r>
            <w:r>
              <w:rPr>
                <w:rFonts w:ascii="仿宋_GB2312" w:hAnsi="仿宋_GB2312" w:cs="仿宋_GB2312" w:eastAsia="仿宋_GB2312"/>
                <w:sz w:val="24"/>
              </w:rPr>
              <w:t>2004</w:t>
            </w:r>
            <w:r>
              <w:rPr>
                <w:rFonts w:ascii="仿宋_GB2312" w:hAnsi="仿宋_GB2312" w:cs="仿宋_GB2312" w:eastAsia="仿宋_GB2312"/>
                <w:sz w:val="24"/>
              </w:rPr>
              <w:t>）》及其补充定额和《陕西省建筑装饰、安装工程价目表</w:t>
            </w:r>
            <w:r>
              <w:rPr>
                <w:rFonts w:ascii="仿宋_GB2312" w:hAnsi="仿宋_GB2312" w:cs="仿宋_GB2312" w:eastAsia="仿宋_GB2312"/>
                <w:sz w:val="24"/>
              </w:rPr>
              <w:t>(2009)</w:t>
            </w:r>
            <w:r>
              <w:rPr>
                <w:rFonts w:ascii="仿宋_GB2312" w:hAnsi="仿宋_GB2312" w:cs="仿宋_GB2312" w:eastAsia="仿宋_GB2312"/>
                <w:sz w:val="24"/>
              </w:rPr>
              <w:t>》及与其相配套的费用定额；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陕西省住房和城乡建设厅《关于调整我省建设工程计价依据的通知》陕建发</w:t>
            </w:r>
            <w:r>
              <w:rPr>
                <w:rFonts w:ascii="仿宋_GB2312" w:hAnsi="仿宋_GB2312" w:cs="仿宋_GB2312" w:eastAsia="仿宋_GB2312"/>
                <w:sz w:val="24"/>
              </w:rPr>
              <w:t>【</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号文件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陕西省住房和城乡建设厅《关于发布我省落实建筑工人实名制管理计价依据的通知》陕建发〔</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1246</w:t>
            </w:r>
            <w:r>
              <w:rPr>
                <w:rFonts w:ascii="仿宋_GB2312" w:hAnsi="仿宋_GB2312" w:cs="仿宋_GB2312" w:eastAsia="仿宋_GB2312"/>
                <w:sz w:val="24"/>
              </w:rPr>
              <w:t>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陕西省住房和城乡建设厅《关于建筑施工安全生产责任保险费用计价的通知》陕建发〔</w:t>
            </w:r>
            <w:r>
              <w:rPr>
                <w:rFonts w:ascii="仿宋_GB2312" w:hAnsi="仿宋_GB2312" w:cs="仿宋_GB2312" w:eastAsia="仿宋_GB2312"/>
                <w:sz w:val="24"/>
              </w:rPr>
              <w:t>2020</w:t>
            </w:r>
            <w:r>
              <w:rPr>
                <w:rFonts w:ascii="仿宋_GB2312" w:hAnsi="仿宋_GB2312" w:cs="仿宋_GB2312" w:eastAsia="仿宋_GB2312"/>
                <w:sz w:val="24"/>
              </w:rPr>
              <w:t>〕</w:t>
            </w:r>
            <w:r>
              <w:rPr>
                <w:rFonts w:ascii="仿宋_GB2312" w:hAnsi="仿宋_GB2312" w:cs="仿宋_GB2312" w:eastAsia="仿宋_GB2312"/>
                <w:sz w:val="24"/>
              </w:rPr>
              <w:t>1097</w:t>
            </w:r>
            <w:r>
              <w:rPr>
                <w:rFonts w:ascii="仿宋_GB2312" w:hAnsi="仿宋_GB2312" w:cs="仿宋_GB2312" w:eastAsia="仿宋_GB2312"/>
                <w:sz w:val="24"/>
              </w:rPr>
              <w:t>号文件；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建设工程扬尘治理专项措施费执行陕西省住房和城乡建设厅《关于增加建设工程扬尘治理专项措施费及综合人工单价调整的通知》陕建发</w:t>
            </w:r>
            <w:r>
              <w:rPr>
                <w:rFonts w:ascii="仿宋_GB2312" w:hAnsi="仿宋_GB2312" w:cs="仿宋_GB2312" w:eastAsia="仿宋_GB2312"/>
                <w:sz w:val="24"/>
              </w:rPr>
              <w:t>〔</w:t>
            </w:r>
            <w:r>
              <w:rPr>
                <w:rFonts w:ascii="仿宋_GB2312" w:hAnsi="仿宋_GB2312" w:cs="仿宋_GB2312" w:eastAsia="仿宋_GB2312"/>
                <w:sz w:val="24"/>
              </w:rPr>
              <w:t>2017</w:t>
            </w:r>
            <w:r>
              <w:rPr>
                <w:rFonts w:ascii="仿宋_GB2312" w:hAnsi="仿宋_GB2312" w:cs="仿宋_GB2312" w:eastAsia="仿宋_GB2312"/>
                <w:sz w:val="24"/>
              </w:rPr>
              <w:t>〕</w:t>
            </w:r>
            <w:r>
              <w:rPr>
                <w:rFonts w:ascii="仿宋_GB2312" w:hAnsi="仿宋_GB2312" w:cs="仿宋_GB2312" w:eastAsia="仿宋_GB2312"/>
                <w:sz w:val="24"/>
              </w:rPr>
              <w:t>270</w:t>
            </w:r>
            <w:r>
              <w:rPr>
                <w:rFonts w:ascii="仿宋_GB2312" w:hAnsi="仿宋_GB2312" w:cs="仿宋_GB2312" w:eastAsia="仿宋_GB2312"/>
                <w:sz w:val="24"/>
              </w:rPr>
              <w:t>号文件；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劳保统筹执行陕西省住房和城乡建设厅《关于全省统一停止收缴建筑业劳保费用的通知》陕建发</w:t>
            </w:r>
            <w:r>
              <w:rPr>
                <w:rFonts w:ascii="仿宋_GB2312" w:hAnsi="仿宋_GB2312" w:cs="仿宋_GB2312" w:eastAsia="仿宋_GB2312"/>
                <w:sz w:val="24"/>
              </w:rPr>
              <w:t>〔</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1021</w:t>
            </w:r>
            <w:r>
              <w:rPr>
                <w:rFonts w:ascii="仿宋_GB2312" w:hAnsi="仿宋_GB2312" w:cs="仿宋_GB2312" w:eastAsia="仿宋_GB2312"/>
                <w:sz w:val="24"/>
              </w:rPr>
              <w:t>号文件；</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《关于加强建筑行业养老保险缴费用和养老保险费用计价监管有关事项的通知》（陕建发</w:t>
            </w:r>
            <w:r>
              <w:rPr>
                <w:rFonts w:ascii="仿宋_GB2312" w:hAnsi="仿宋_GB2312" w:cs="仿宋_GB2312" w:eastAsia="仿宋_GB2312"/>
                <w:sz w:val="24"/>
              </w:rPr>
              <w:t>〔</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61</w:t>
            </w:r>
            <w:r>
              <w:rPr>
                <w:rFonts w:ascii="仿宋_GB2312" w:hAnsi="仿宋_GB2312" w:cs="仿宋_GB2312" w:eastAsia="仿宋_GB2312"/>
                <w:sz w:val="24"/>
              </w:rPr>
              <w:t>号）；</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人工费执行陕建发</w:t>
            </w:r>
            <w:r>
              <w:rPr>
                <w:rFonts w:ascii="仿宋_GB2312" w:hAnsi="仿宋_GB2312" w:cs="仿宋_GB2312" w:eastAsia="仿宋_GB2312"/>
                <w:sz w:val="24"/>
              </w:rPr>
              <w:t>〔</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1097</w:t>
            </w:r>
            <w:r>
              <w:rPr>
                <w:rFonts w:ascii="仿宋_GB2312" w:hAnsi="仿宋_GB2312" w:cs="仿宋_GB2312" w:eastAsia="仿宋_GB2312"/>
                <w:sz w:val="24"/>
              </w:rPr>
              <w:t>号文件《关于调整房屋建筑和市政基础设施工程工程量清单计价综合人工单价的通知》；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材料价格依据陕西省工程造价信息</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年第</w:t>
            </w:r>
            <w:r>
              <w:rPr>
                <w:rFonts w:ascii="仿宋_GB2312" w:hAnsi="仿宋_GB2312" w:cs="仿宋_GB2312" w:eastAsia="仿宋_GB2312"/>
                <w:sz w:val="24"/>
              </w:rPr>
              <w:t>11</w:t>
            </w:r>
            <w:r>
              <w:rPr>
                <w:rFonts w:ascii="仿宋_GB2312" w:hAnsi="仿宋_GB2312" w:cs="仿宋_GB2312" w:eastAsia="仿宋_GB2312"/>
                <w:sz w:val="24"/>
              </w:rPr>
              <w:t>期以及市场询价；</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正常施工组织设计、施工方法及标准图集；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计价软件采用广联</w:t>
            </w:r>
            <w:r>
              <w:rPr>
                <w:rFonts w:ascii="仿宋_GB2312" w:hAnsi="仿宋_GB2312" w:cs="仿宋_GB2312" w:eastAsia="仿宋_GB2312"/>
                <w:sz w:val="24"/>
              </w:rPr>
              <w:t>达云计价平台</w:t>
            </w:r>
            <w:r>
              <w:rPr>
                <w:rFonts w:ascii="仿宋_GB2312" w:hAnsi="仿宋_GB2312" w:cs="仿宋_GB2312" w:eastAsia="仿宋_GB2312"/>
                <w:sz w:val="24"/>
              </w:rPr>
              <w:t>GCCP</w:t>
            </w:r>
            <w:r>
              <w:rPr>
                <w:rFonts w:ascii="仿宋_GB2312" w:hAnsi="仿宋_GB2312" w:cs="仿宋_GB2312" w:eastAsia="仿宋_GB2312"/>
                <w:sz w:val="24"/>
              </w:rPr>
              <w:t xml:space="preserve"> 6.0</w:t>
            </w:r>
            <w:r>
              <w:rPr>
                <w:rFonts w:ascii="仿宋_GB2312" w:hAnsi="仿宋_GB2312" w:cs="仿宋_GB2312" w:eastAsia="仿宋_GB2312"/>
                <w:sz w:val="24"/>
              </w:rPr>
              <w:t xml:space="preserve"> </w:t>
            </w:r>
            <w:r>
              <w:rPr>
                <w:rFonts w:ascii="仿宋_GB2312" w:hAnsi="仿宋_GB2312" w:cs="仿宋_GB2312" w:eastAsia="仿宋_GB2312"/>
                <w:sz w:val="24"/>
              </w:rPr>
              <w:t>版本：</w:t>
            </w:r>
            <w:r>
              <w:rPr>
                <w:rFonts w:ascii="仿宋_GB2312" w:hAnsi="仿宋_GB2312" w:cs="仿宋_GB2312" w:eastAsia="仿宋_GB2312"/>
                <w:sz w:val="24"/>
              </w:rPr>
              <w:t>6.4100.23.</w:t>
            </w:r>
            <w:r>
              <w:rPr>
                <w:rFonts w:ascii="仿宋_GB2312" w:hAnsi="仿宋_GB2312" w:cs="仿宋_GB2312" w:eastAsia="仿宋_GB2312"/>
                <w:sz w:val="24"/>
              </w:rPr>
              <w:t>122</w:t>
            </w:r>
            <w:r>
              <w:rPr>
                <w:rFonts w:ascii="仿宋_GB2312" w:hAnsi="仿宋_GB2312" w:cs="仿宋_GB2312" w:eastAsia="仿宋_GB2312"/>
                <w:sz w:val="24"/>
              </w:rPr>
              <w:t>。</w:t>
            </w:r>
          </w:p>
          <w:p>
            <w:pPr>
              <w:pStyle w:val="null3"/>
              <w:jc w:val="left"/>
            </w:pPr>
            <w:r>
              <w:rPr>
                <w:rFonts w:ascii="仿宋_GB2312" w:hAnsi="仿宋_GB2312" w:cs="仿宋_GB2312" w:eastAsia="仿宋_GB2312"/>
                <w:sz w:val="28"/>
                <w:b/>
              </w:rPr>
              <w:t>三、其他说明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混凝土采用商品混凝土；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石灰采用袋装熟石灰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本工程量清单所提供工程项目特征仅表达了主要工程做法，组价时应依据设计图纸、相关图集，结合招标文件，合同条款，技术规范、图纸、答疑纪要等进行组价</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center"/>
            </w:pPr>
            <w:r>
              <w:rPr>
                <w:rFonts w:ascii="仿宋_GB2312" w:hAnsi="仿宋_GB2312" w:cs="仿宋_GB2312" w:eastAsia="仿宋_GB2312"/>
                <w:sz w:val="36"/>
                <w:b/>
              </w:rPr>
              <w:t>商务要求</w:t>
            </w:r>
          </w:p>
          <w:p>
            <w:pPr>
              <w:pStyle w:val="null3"/>
              <w:ind w:firstLine="480"/>
              <w:jc w:val="left"/>
            </w:pPr>
            <w:r>
              <w:rPr>
                <w:rFonts w:ascii="仿宋_GB2312" w:hAnsi="仿宋_GB2312" w:cs="仿宋_GB2312" w:eastAsia="仿宋_GB2312"/>
                <w:sz w:val="24"/>
              </w:rPr>
              <w:t>1、工程内容：西安110千伏文景变文勘清表土方外运工程</w:t>
            </w:r>
          </w:p>
          <w:p>
            <w:pPr>
              <w:pStyle w:val="null3"/>
              <w:ind w:firstLine="480"/>
              <w:jc w:val="left"/>
            </w:pPr>
            <w:r>
              <w:rPr>
                <w:rFonts w:ascii="仿宋_GB2312" w:hAnsi="仿宋_GB2312" w:cs="仿宋_GB2312" w:eastAsia="仿宋_GB2312"/>
                <w:sz w:val="24"/>
              </w:rPr>
              <w:t>2、工程地点：西安市未央区</w:t>
            </w:r>
          </w:p>
          <w:p>
            <w:pPr>
              <w:pStyle w:val="null3"/>
              <w:ind w:firstLine="480"/>
              <w:jc w:val="left"/>
            </w:pPr>
            <w:r>
              <w:rPr>
                <w:rFonts w:ascii="仿宋_GB2312" w:hAnsi="仿宋_GB2312" w:cs="仿宋_GB2312" w:eastAsia="仿宋_GB2312"/>
                <w:sz w:val="24"/>
              </w:rPr>
              <w:t>3、质量标准：合格</w:t>
            </w:r>
          </w:p>
          <w:p>
            <w:pPr>
              <w:pStyle w:val="null3"/>
              <w:ind w:firstLine="480"/>
              <w:jc w:val="left"/>
            </w:pPr>
            <w:r>
              <w:rPr>
                <w:rFonts w:ascii="仿宋_GB2312" w:hAnsi="仿宋_GB2312" w:cs="仿宋_GB2312" w:eastAsia="仿宋_GB2312"/>
                <w:sz w:val="24"/>
              </w:rPr>
              <w:t>4、工期：自合同签订之日起10日</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、付款方式：合同签订后，达到付款条件起</w:t>
            </w:r>
            <w:r>
              <w:rPr>
                <w:rFonts w:ascii="仿宋_GB2312" w:hAnsi="仿宋_GB2312" w:cs="仿宋_GB2312" w:eastAsia="仿宋_GB2312"/>
                <w:sz w:val="24"/>
              </w:rPr>
              <w:t xml:space="preserve">30日内，支付合同总金额的 40.00%。工程完工并完成结算审计后，达到付款条件起30日内，支付合同总金额的 </w:t>
            </w:r>
            <w:r>
              <w:rPr>
                <w:rFonts w:ascii="仿宋_GB2312" w:hAnsi="仿宋_GB2312" w:cs="仿宋_GB2312" w:eastAsia="仿宋_GB2312"/>
                <w:sz w:val="24"/>
              </w:rPr>
              <w:t>6</w:t>
            </w:r>
            <w:r>
              <w:rPr>
                <w:rFonts w:ascii="仿宋_GB2312" w:hAnsi="仿宋_GB2312" w:cs="仿宋_GB2312" w:eastAsia="仿宋_GB2312"/>
                <w:sz w:val="24"/>
              </w:rPr>
              <w:t>0.00%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6、质量保修范围和保修期：本项目所有工程均在保修范围内，保修期为：防水工程5年，其他工程2年</w:t>
            </w:r>
            <w:r>
              <w:rPr>
                <w:rFonts w:ascii="仿宋_GB2312" w:hAnsi="仿宋_GB2312" w:cs="仿宋_GB2312" w:eastAsia="仿宋_GB2312"/>
                <w:sz w:val="24"/>
              </w:rPr>
              <w:t>。</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已标价工程量清单中单项工程</w:t>
            </w:r>
            <w:r>
              <w:rPr>
                <w:rFonts w:ascii="仿宋_GB2312" w:hAnsi="仿宋_GB2312" w:cs="仿宋_GB2312" w:eastAsia="仿宋_GB2312"/>
                <w:sz w:val="24"/>
              </w:rPr>
              <w:t>(</w:t>
            </w:r>
            <w:r>
              <w:rPr>
                <w:rFonts w:ascii="仿宋_GB2312" w:hAnsi="仿宋_GB2312" w:cs="仿宋_GB2312" w:eastAsia="仿宋_GB2312"/>
                <w:sz w:val="24"/>
              </w:rPr>
              <w:t>土方开挖及外运（暂估）</w:t>
            </w:r>
            <w:r>
              <w:rPr>
                <w:rFonts w:ascii="仿宋_GB2312" w:hAnsi="仿宋_GB2312" w:cs="仿宋_GB2312" w:eastAsia="仿宋_GB2312"/>
                <w:sz w:val="24"/>
              </w:rPr>
              <w:t>)</w:t>
            </w:r>
            <w:r>
              <w:rPr>
                <w:rFonts w:ascii="仿宋_GB2312" w:hAnsi="仿宋_GB2312" w:cs="仿宋_GB2312" w:eastAsia="仿宋_GB2312"/>
                <w:sz w:val="24"/>
              </w:rPr>
              <w:t>单价不得超出</w:t>
            </w:r>
            <w:r>
              <w:rPr>
                <w:rFonts w:ascii="仿宋_GB2312" w:hAnsi="仿宋_GB2312" w:cs="仿宋_GB2312" w:eastAsia="仿宋_GB2312"/>
                <w:sz w:val="24"/>
              </w:rPr>
              <w:t>90.70元/m³，</w:t>
            </w:r>
            <w:r>
              <w:rPr>
                <w:rFonts w:ascii="仿宋_GB2312" w:hAnsi="仿宋_GB2312" w:cs="仿宋_GB2312" w:eastAsia="仿宋_GB2312"/>
                <w:sz w:val="24"/>
              </w:rPr>
              <w:t>合计造价金额不得超出</w:t>
            </w:r>
            <w:r>
              <w:rPr>
                <w:rFonts w:ascii="仿宋_GB2312" w:hAnsi="仿宋_GB2312" w:cs="仿宋_GB2312" w:eastAsia="仿宋_GB2312"/>
                <w:sz w:val="24"/>
              </w:rPr>
              <w:t>1015840.00</w:t>
            </w:r>
            <w:r>
              <w:rPr>
                <w:rFonts w:ascii="仿宋_GB2312" w:hAnsi="仿宋_GB2312" w:cs="仿宋_GB2312" w:eastAsia="仿宋_GB2312"/>
                <w:sz w:val="24"/>
              </w:rPr>
              <w:t>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已标价工程量清单中单项工程</w:t>
            </w:r>
            <w:r>
              <w:rPr>
                <w:rFonts w:ascii="仿宋_GB2312" w:hAnsi="仿宋_GB2312" w:cs="仿宋_GB2312" w:eastAsia="仿宋_GB2312"/>
                <w:sz w:val="24"/>
              </w:rPr>
              <w:t>(</w:t>
            </w:r>
            <w:r>
              <w:rPr>
                <w:rFonts w:ascii="仿宋_GB2312" w:hAnsi="仿宋_GB2312" w:cs="仿宋_GB2312" w:eastAsia="仿宋_GB2312"/>
                <w:sz w:val="24"/>
              </w:rPr>
              <w:t>砼地面</w:t>
            </w:r>
            <w:r>
              <w:rPr>
                <w:rFonts w:ascii="仿宋_GB2312" w:hAnsi="仿宋_GB2312" w:cs="仿宋_GB2312" w:eastAsia="仿宋_GB2312"/>
                <w:sz w:val="24"/>
              </w:rPr>
              <w:t>)</w:t>
            </w:r>
            <w:r>
              <w:rPr>
                <w:rFonts w:ascii="仿宋_GB2312" w:hAnsi="仿宋_GB2312" w:cs="仿宋_GB2312" w:eastAsia="仿宋_GB2312"/>
                <w:sz w:val="24"/>
              </w:rPr>
              <w:t>单价不超出</w:t>
            </w:r>
            <w:r>
              <w:rPr>
                <w:rFonts w:ascii="仿宋_GB2312" w:hAnsi="仿宋_GB2312" w:cs="仿宋_GB2312" w:eastAsia="仿宋_GB2312"/>
                <w:sz w:val="24"/>
              </w:rPr>
              <w:t>138.15元/㎡，</w:t>
            </w:r>
            <w:r>
              <w:rPr>
                <w:rFonts w:ascii="仿宋_GB2312" w:hAnsi="仿宋_GB2312" w:cs="仿宋_GB2312" w:eastAsia="仿宋_GB2312"/>
                <w:sz w:val="24"/>
              </w:rPr>
              <w:t>合计造价金额不得超出</w:t>
            </w:r>
            <w:r>
              <w:rPr>
                <w:rFonts w:ascii="仿宋_GB2312" w:hAnsi="仿宋_GB2312" w:cs="仿宋_GB2312" w:eastAsia="仿宋_GB2312"/>
                <w:sz w:val="24"/>
              </w:rPr>
              <w:t>4973.40元；</w:t>
            </w:r>
          </w:p>
          <w:p>
            <w:pPr>
              <w:pStyle w:val="null3"/>
              <w:ind w:firstLine="480"/>
              <w:jc w:val="left"/>
            </w:pPr>
            <w:r>
              <w:rPr>
                <w:rFonts w:ascii="仿宋_GB2312" w:hAnsi="仿宋_GB2312" w:cs="仿宋_GB2312" w:eastAsia="仿宋_GB2312"/>
                <w:sz w:val="24"/>
              </w:rPr>
              <w:t>3、措施项目费合计造价金额不得超出62538.22元；</w:t>
            </w:r>
          </w:p>
          <w:p>
            <w:pPr>
              <w:pStyle w:val="null3"/>
              <w:ind w:firstLine="480"/>
              <w:jc w:val="left"/>
            </w:pPr>
            <w:r>
              <w:rPr>
                <w:rFonts w:ascii="仿宋_GB2312" w:hAnsi="仿宋_GB2312" w:cs="仿宋_GB2312" w:eastAsia="仿宋_GB2312"/>
                <w:sz w:val="24"/>
              </w:rPr>
              <w:t>4、安全文明施工措施费合计造价金额不得超出46623.85元；</w:t>
            </w:r>
          </w:p>
          <w:p>
            <w:pPr>
              <w:pStyle w:val="null3"/>
              <w:ind w:firstLine="480"/>
              <w:jc w:val="left"/>
            </w:pPr>
            <w:r>
              <w:rPr>
                <w:rFonts w:ascii="仿宋_GB2312" w:hAnsi="仿宋_GB2312" w:cs="仿宋_GB2312" w:eastAsia="仿宋_GB2312"/>
                <w:sz w:val="24"/>
              </w:rPr>
              <w:t>5、规费合计造价金额不得超出52547.04元；</w:t>
            </w:r>
          </w:p>
          <w:p>
            <w:pPr>
              <w:pStyle w:val="null3"/>
              <w:ind w:firstLine="480"/>
              <w:jc w:val="left"/>
            </w:pPr>
            <w:r>
              <w:rPr>
                <w:rFonts w:ascii="仿宋_GB2312" w:hAnsi="仿宋_GB2312" w:cs="仿宋_GB2312" w:eastAsia="仿宋_GB2312"/>
                <w:sz w:val="24"/>
              </w:rPr>
              <w:t>注</w:t>
            </w:r>
            <w:r>
              <w:rPr>
                <w:rFonts w:ascii="仿宋_GB2312" w:hAnsi="仿宋_GB2312" w:cs="仿宋_GB2312" w:eastAsia="仿宋_GB2312"/>
                <w:sz w:val="24"/>
              </w:rPr>
              <w:t>:不符合要求的磋商响应文件将按照无效磋商处理。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详见技术参数与性能指标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供应商须具备建筑工程施工总承包三级及以上资质，同时具备建设行政主管部门核发有效的安全生产许可证。供应商需在项目电子化交易系统中按要求上传相应证明文件并进行电子签章。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注册建造师资格，并具有有效的安全生产考核合格证（B证），本单位注册且无在建项目（须提供无在建项目的相关证明材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清运方案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清运难度大、技术含量高的部分进行说明并给出清运保障措施和专项技术方案（含主要清运方法、组织措施、检验手段等）。内容合理、方案具体可行、完全符合要求得8分；内容较合理、方案可行性一般，基本符合要求得5分；内容不完备、方案可行性差、不能全面符合要求得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及各阶段进度保证措施内容合理、方案具体可行、完全符合要求得5分；内容较合理、方案可行性一般，基本符合要求得3分；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5分；内容较合理、方案可行性一般，基本符合要求得3分；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清运应急预案。内容合理、方案具体可行、完全符合要求得5分；内容较合理、方案可行性一般，基本符合要求得3分；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5分；内容较合理、方案可行性一般，基本符合要求得3分；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人员配备合理、科学可行、完全符合要求得5分；人员配备较合理、可行性一般，基本符合要求得3分；人员配备不完备、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供应商针对本项目提供详细的劳动力和材料投入计划及其保证措施。措施完备，详细、可操作性强计5分；措施基本合理、较详细、可操作性一般得3分；措施欠缺或内容不完备得1分；未提供不计分。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供应商针对本项目提供满足项目施工需要，与项目施工进度相适应的机械设备投入计划。计划完备，详细、可行性强计5分；计划较合理、较详细、基本可行得3分；计划欠缺或内容不完备得1分；未提供不计分。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现场扬尘管理措施合理、有详尽的扬尘控制措施并可达到国家控制的标准得5分；现场扬尘管理措施较为合理得3分；现场扬尘管理措施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方案合理、详尽、满足项目需要得5分；方案较为合理得3分，方案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方案完善、科学合理，针对性强、服务承诺明确，计5分；方案较完善、合理可行、特点和承诺一般，计3分；方案不完备或不完全符合项目要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40分。3.磋商报价得分=（磋商基准价/磋商评审价）×40%*100的公式计算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