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9193E5">
      <w:pPr>
        <w:shd w:val="clear"/>
        <w:adjustRightInd w:val="0"/>
        <w:snapToGrid w:val="0"/>
        <w:spacing w:line="360" w:lineRule="auto"/>
        <w:ind w:firstLine="643" w:firstLineChars="200"/>
        <w:jc w:val="center"/>
        <w:outlineLvl w:val="0"/>
        <w:rPr>
          <w:rFonts w:hint="eastAsia" w:hAnsi="宋体"/>
          <w:highlight w:val="none"/>
        </w:rPr>
      </w:pPr>
      <w:bookmarkStart w:id="0" w:name="_Toc260"/>
      <w:r>
        <w:rPr>
          <w:rFonts w:hint="eastAsia" w:ascii="黑体" w:hAnsi="黑体" w:eastAsia="黑体" w:cs="黑体"/>
          <w:b/>
          <w:bCs/>
          <w:color w:val="auto"/>
          <w:kern w:val="2"/>
          <w:sz w:val="32"/>
          <w:szCs w:val="32"/>
          <w:highlight w:val="none"/>
          <w:lang w:val="zh-CN" w:eastAsia="zh-CN" w:bidi="ar-SA"/>
        </w:rPr>
        <w:t>拟签订的合同条款文本</w:t>
      </w:r>
      <w:bookmarkEnd w:id="0"/>
    </w:p>
    <w:p w14:paraId="2515560A">
      <w:pPr>
        <w:shd w:val="clear"/>
        <w:adjustRightInd w:val="0"/>
        <w:snapToGrid w:val="0"/>
        <w:spacing w:line="360" w:lineRule="auto"/>
        <w:ind w:firstLine="422" w:firstLineChars="200"/>
        <w:rPr>
          <w:rFonts w:hint="eastAsia" w:hAnsi="宋体"/>
          <w:b/>
          <w:highlight w:val="none"/>
        </w:rPr>
      </w:pPr>
    </w:p>
    <w:p w14:paraId="30861841">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sz w:val="24"/>
          <w:szCs w:val="24"/>
          <w:highlight w:val="none"/>
          <w:u w:val="single"/>
        </w:rPr>
      </w:pPr>
      <w:r>
        <w:rPr>
          <w:rFonts w:hint="eastAsia" w:ascii="宋体" w:hAnsi="宋体" w:eastAsia="宋体" w:cs="宋体"/>
          <w:b/>
          <w:sz w:val="24"/>
          <w:szCs w:val="24"/>
          <w:highlight w:val="none"/>
        </w:rPr>
        <w:t>甲方（委托方）：</w:t>
      </w:r>
      <w:r>
        <w:rPr>
          <w:rFonts w:hint="eastAsia" w:ascii="宋体" w:hAnsi="宋体" w:eastAsia="宋体" w:cs="宋体"/>
          <w:sz w:val="24"/>
          <w:szCs w:val="24"/>
          <w:highlight w:val="none"/>
          <w:u w:val="single"/>
        </w:rPr>
        <w:t xml:space="preserve"> 西安市未央区发展和改革委员会 </w:t>
      </w:r>
    </w:p>
    <w:p w14:paraId="55D9AA08">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sz w:val="24"/>
          <w:szCs w:val="24"/>
          <w:highlight w:val="none"/>
          <w:u w:val="single"/>
        </w:rPr>
      </w:pPr>
      <w:r>
        <w:rPr>
          <w:rFonts w:hint="eastAsia" w:ascii="宋体" w:hAnsi="宋体" w:eastAsia="宋体" w:cs="宋体"/>
          <w:b/>
          <w:sz w:val="24"/>
          <w:szCs w:val="24"/>
          <w:highlight w:val="none"/>
        </w:rPr>
        <w:t>乙方（受托方）</w:t>
      </w:r>
      <w:r>
        <w:rPr>
          <w:rFonts w:hint="eastAsia" w:ascii="宋体" w:hAnsi="宋体" w:eastAsia="宋体" w:cs="宋体"/>
          <w:bCs/>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424F56AF">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依据《中华人民共和国民法典》等法律法规规定，甲乙双方本着自愿平等、公平和诚实守信的原则，就甲方委托乙方完成</w:t>
      </w:r>
      <w:r>
        <w:rPr>
          <w:rFonts w:hint="eastAsia" w:ascii="宋体" w:hAnsi="宋体" w:eastAsia="宋体" w:cs="宋体"/>
          <w:sz w:val="24"/>
          <w:szCs w:val="24"/>
          <w:highlight w:val="none"/>
          <w:u w:val="single"/>
        </w:rPr>
        <w:t>《未央区“十五五”规划编制项目》</w:t>
      </w:r>
      <w:r>
        <w:rPr>
          <w:rFonts w:hint="eastAsia" w:ascii="宋体" w:hAnsi="宋体" w:eastAsia="宋体" w:cs="宋体"/>
          <w:sz w:val="24"/>
          <w:szCs w:val="24"/>
          <w:highlight w:val="none"/>
        </w:rPr>
        <w:t>服务事项协商一致签订此合同，以资共同遵守。</w:t>
      </w:r>
    </w:p>
    <w:p w14:paraId="2E8B8D89">
      <w:pPr>
        <w:spacing w:before="156" w:beforeLines="50" w:after="156" w:afterLines="50" w:line="600" w:lineRule="exact"/>
        <w:outlineLvl w:val="0"/>
        <w:rPr>
          <w:rFonts w:hint="eastAsia" w:ascii="宋体" w:hAnsi="宋体" w:eastAsia="宋体" w:cs="宋体"/>
          <w:b/>
          <w:sz w:val="24"/>
          <w:szCs w:val="24"/>
          <w:highlight w:val="none"/>
        </w:rPr>
      </w:pPr>
      <w:bookmarkStart w:id="1" w:name="_Toc22357"/>
      <w:r>
        <w:rPr>
          <w:rFonts w:hint="eastAsia" w:ascii="宋体" w:hAnsi="宋体" w:eastAsia="宋体" w:cs="宋体"/>
          <w:b/>
          <w:sz w:val="24"/>
          <w:szCs w:val="24"/>
          <w:highlight w:val="none"/>
        </w:rPr>
        <w:t>一、项目名称、项目内容、最终成果及时间安排</w:t>
      </w:r>
      <w:bookmarkEnd w:id="1"/>
    </w:p>
    <w:p w14:paraId="777B110E">
      <w:pPr>
        <w:keepNext w:val="0"/>
        <w:keepLines w:val="0"/>
        <w:pageBreakBefore w:val="0"/>
        <w:widowControl w:val="0"/>
        <w:kinsoku/>
        <w:wordWrap/>
        <w:overflowPunct/>
        <w:topLinePunct w:val="0"/>
        <w:autoSpaceDE/>
        <w:autoSpaceDN/>
        <w:bidi w:val="0"/>
        <w:spacing w:line="56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（一）项目名称</w:t>
      </w:r>
    </w:p>
    <w:p w14:paraId="4A08FE6C">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未央区“十五五”规划编制项目</w:t>
      </w:r>
      <w:r>
        <w:rPr>
          <w:rFonts w:hint="eastAsia" w:ascii="宋体" w:hAnsi="宋体" w:eastAsia="宋体" w:cs="宋体"/>
          <w:sz w:val="24"/>
          <w:szCs w:val="24"/>
          <w:highlight w:val="none"/>
          <w:lang w:eastAsia="zh-CN"/>
        </w:rPr>
        <w:t>》</w:t>
      </w:r>
    </w:p>
    <w:p w14:paraId="7B36A07A">
      <w:pPr>
        <w:keepNext w:val="0"/>
        <w:keepLines w:val="0"/>
        <w:pageBreakBefore w:val="0"/>
        <w:widowControl w:val="0"/>
        <w:kinsoku/>
        <w:wordWrap/>
        <w:overflowPunct/>
        <w:topLinePunct w:val="0"/>
        <w:autoSpaceDE/>
        <w:autoSpaceDN/>
        <w:bidi w:val="0"/>
        <w:spacing w:line="56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（二）项目内容</w:t>
      </w:r>
    </w:p>
    <w:p w14:paraId="15AD602C">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eastAsia="zh-Hans"/>
        </w:rPr>
        <w:t>以习近平新时代中国特色社会主义思想为指导，深入学习贯彻党的二十大和二十届二中、三中全会精神，全面落实习近平总书记历次来陕考察重要讲话重要指示精神，全面落实省委、市委全会决策部署，</w:t>
      </w:r>
      <w:r>
        <w:rPr>
          <w:rFonts w:hint="eastAsia" w:ascii="宋体" w:hAnsi="宋体" w:eastAsia="宋体" w:cs="宋体"/>
          <w:sz w:val="24"/>
          <w:szCs w:val="24"/>
          <w:highlight w:val="none"/>
          <w:lang w:val="en-US" w:eastAsia="zh-CN"/>
        </w:rPr>
        <w:t>认真编制《未央区“十五五”规划编制项目》</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主要内容包括但不限于：</w:t>
      </w:r>
    </w:p>
    <w:p w14:paraId="52427345">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1.梳理未央区现代服务业的发展现状和存在问题，提出“十五五”期间构建现代服务业发展体系的目标和重点举措；</w:t>
      </w:r>
    </w:p>
    <w:p w14:paraId="0B967976">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Hans"/>
        </w:rPr>
        <w:t>全面总结“十四五”时期发展经验，</w:t>
      </w:r>
      <w:r>
        <w:rPr>
          <w:rFonts w:hint="eastAsia" w:ascii="宋体" w:hAnsi="宋体" w:eastAsia="宋体" w:cs="宋体"/>
          <w:sz w:val="24"/>
          <w:szCs w:val="24"/>
          <w:highlight w:val="none"/>
          <w:lang w:eastAsia="zh-CN"/>
        </w:rPr>
        <w:t>认真分析国际国内发展新形势和新变化，准确研判未来一个时期未央区发展的基本趋势和阶段特征，科学谋划“十五五”时期</w:t>
      </w:r>
      <w:r>
        <w:rPr>
          <w:rFonts w:hint="eastAsia" w:ascii="宋体" w:hAnsi="宋体" w:eastAsia="宋体" w:cs="宋体"/>
          <w:sz w:val="24"/>
          <w:szCs w:val="24"/>
          <w:highlight w:val="none"/>
          <w:lang w:val="en-US" w:eastAsia="zh-CN"/>
        </w:rPr>
        <w:t>未央区</w:t>
      </w:r>
      <w:r>
        <w:rPr>
          <w:rFonts w:hint="eastAsia" w:ascii="宋体" w:hAnsi="宋体" w:eastAsia="宋体" w:cs="宋体"/>
          <w:sz w:val="24"/>
          <w:szCs w:val="24"/>
          <w:highlight w:val="none"/>
          <w:lang w:eastAsia="zh-CN"/>
        </w:rPr>
        <w:t>高质量发展的指导方针、主要目标指标、重大任务举措</w:t>
      </w:r>
      <w:r>
        <w:rPr>
          <w:rFonts w:hint="eastAsia" w:ascii="宋体" w:hAnsi="宋体" w:eastAsia="宋体" w:cs="宋体"/>
          <w:sz w:val="24"/>
          <w:szCs w:val="24"/>
          <w:highlight w:val="none"/>
          <w:lang w:val="en-US" w:eastAsia="zh-CN"/>
        </w:rPr>
        <w:t>等</w:t>
      </w:r>
      <w:r>
        <w:rPr>
          <w:rFonts w:hint="eastAsia" w:ascii="宋体" w:hAnsi="宋体" w:eastAsia="宋体" w:cs="宋体"/>
          <w:sz w:val="24"/>
          <w:szCs w:val="24"/>
          <w:highlight w:val="none"/>
          <w:lang w:eastAsia="zh-CN"/>
        </w:rPr>
        <w:t>；</w:t>
      </w:r>
    </w:p>
    <w:p w14:paraId="44C3104B">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抢抓国家一揽子增量政策和“两新”“两重”政策等重大机遇，围绕现代化产业体系构建、城乡融合发展、基础设施建设、改革创新、民生保障等重点领域，梳理一批补短板、强基础、利长远的重大工程项目。</w:t>
      </w:r>
    </w:p>
    <w:p w14:paraId="5C7FAAEF">
      <w:pPr>
        <w:keepNext w:val="0"/>
        <w:keepLines w:val="0"/>
        <w:pageBreakBefore w:val="0"/>
        <w:widowControl w:val="0"/>
        <w:kinsoku/>
        <w:wordWrap/>
        <w:overflowPunct/>
        <w:topLinePunct w:val="0"/>
        <w:autoSpaceDE/>
        <w:autoSpaceDN/>
        <w:bidi w:val="0"/>
        <w:spacing w:line="56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（三）项目成果及提交方式</w:t>
      </w:r>
    </w:p>
    <w:p w14:paraId="3CF939C0">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1.项目成果：</w:t>
      </w:r>
      <w:r>
        <w:rPr>
          <w:rFonts w:hint="eastAsia" w:ascii="宋体" w:hAnsi="宋体" w:eastAsia="宋体" w:cs="宋体"/>
          <w:sz w:val="24"/>
          <w:szCs w:val="24"/>
          <w:highlight w:val="none"/>
          <w:u w:val="single"/>
        </w:rPr>
        <w:t>《未央区“十五五”规划纲要》</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lang w:val="en-US" w:eastAsia="zh-CN"/>
        </w:rPr>
        <w:t>未央区“十五五”重点项目谋划</w:t>
      </w:r>
      <w:r>
        <w:rPr>
          <w:rFonts w:hint="eastAsia" w:ascii="宋体" w:hAnsi="宋体" w:eastAsia="宋体" w:cs="宋体"/>
          <w:sz w:val="24"/>
          <w:szCs w:val="24"/>
          <w:highlight w:val="none"/>
          <w:u w:val="single"/>
          <w:lang w:eastAsia="zh-CN"/>
        </w:rPr>
        <w:t>》《着力构建优质高效的现代服务业体系，推动服务业补短提质的路径研究》《未央区“十五五”加快培育和发展新质生产力的思路研究》</w:t>
      </w:r>
      <w:r>
        <w:rPr>
          <w:rFonts w:hint="eastAsia" w:ascii="宋体" w:hAnsi="宋体" w:eastAsia="宋体" w:cs="宋体"/>
          <w:sz w:val="24"/>
          <w:szCs w:val="24"/>
          <w:highlight w:val="none"/>
          <w:u w:val="single"/>
        </w:rPr>
        <w:t>电子文稿</w:t>
      </w:r>
      <w:r>
        <w:rPr>
          <w:rFonts w:hint="eastAsia" w:ascii="宋体" w:hAnsi="宋体" w:eastAsia="宋体" w:cs="宋体"/>
          <w:sz w:val="24"/>
          <w:szCs w:val="24"/>
          <w:highlight w:val="none"/>
          <w:u w:val="single"/>
          <w:lang w:val="en-US" w:eastAsia="zh-CN"/>
        </w:rPr>
        <w:t>各</w:t>
      </w:r>
      <w:r>
        <w:rPr>
          <w:rFonts w:hint="eastAsia" w:ascii="宋体" w:hAnsi="宋体" w:eastAsia="宋体" w:cs="宋体"/>
          <w:sz w:val="24"/>
          <w:szCs w:val="24"/>
          <w:highlight w:val="none"/>
          <w:u w:val="single"/>
        </w:rPr>
        <w:t>一份</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lang w:val="en-US" w:eastAsia="zh-CN"/>
        </w:rPr>
        <w:t>印刷文本十套</w:t>
      </w:r>
      <w:r>
        <w:rPr>
          <w:rFonts w:hint="eastAsia" w:ascii="宋体" w:hAnsi="宋体" w:eastAsia="宋体" w:cs="宋体"/>
          <w:sz w:val="24"/>
          <w:szCs w:val="24"/>
          <w:highlight w:val="none"/>
        </w:rPr>
        <w:t>。</w:t>
      </w:r>
    </w:p>
    <w:p w14:paraId="1BDBBDB3">
      <w:pPr>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2.提交方式：</w:t>
      </w:r>
      <w:bookmarkStart w:id="2" w:name="_Hlt44230008"/>
      <w:bookmarkStart w:id="3" w:name="_Hlt44230009"/>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"mailto:形成《白水县黄河流域生态保护和高质量发展规划》成果（含电子版）。文本由乙方邮箱（yanjiuyuan@yongxiu2012.com）成功发送至甲方指定邮箱"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成果电子版由乙方成功发送至甲</w:t>
      </w:r>
      <w:bookmarkStart w:id="4" w:name="_Hlt44231989"/>
      <w:r>
        <w:rPr>
          <w:rFonts w:hint="eastAsia" w:ascii="宋体" w:hAnsi="宋体" w:eastAsia="宋体" w:cs="宋体"/>
          <w:sz w:val="24"/>
          <w:szCs w:val="24"/>
          <w:highlight w:val="none"/>
        </w:rPr>
        <w:t>方</w:t>
      </w:r>
      <w:bookmarkEnd w:id="4"/>
      <w:r>
        <w:rPr>
          <w:rFonts w:hint="eastAsia" w:ascii="宋体" w:hAnsi="宋体" w:eastAsia="宋体" w:cs="宋体"/>
          <w:sz w:val="24"/>
          <w:szCs w:val="24"/>
          <w:highlight w:val="none"/>
        </w:rPr>
        <w:t>联系人</w:t>
      </w:r>
      <w:bookmarkEnd w:id="2"/>
      <w:bookmarkEnd w:id="3"/>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lang w:eastAsia="zh-Hans"/>
        </w:rPr>
        <w:t>邮箱或</w:t>
      </w:r>
      <w:r>
        <w:rPr>
          <w:rFonts w:hint="eastAsia" w:ascii="宋体" w:hAnsi="宋体" w:eastAsia="宋体" w:cs="宋体"/>
          <w:sz w:val="24"/>
          <w:szCs w:val="24"/>
          <w:highlight w:val="none"/>
        </w:rPr>
        <w:t>微信</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，电话告知甲方指定联系人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即视为提交。</w:t>
      </w:r>
    </w:p>
    <w:p w14:paraId="5D6705EB">
      <w:pPr>
        <w:keepNext w:val="0"/>
        <w:keepLines w:val="0"/>
        <w:pageBreakBefore w:val="0"/>
        <w:widowControl w:val="0"/>
        <w:kinsoku/>
        <w:wordWrap/>
        <w:overflowPunct/>
        <w:topLinePunct w:val="0"/>
        <w:autoSpaceDE/>
        <w:autoSpaceDN/>
        <w:bidi w:val="0"/>
        <w:spacing w:line="56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（四）时间安排</w:t>
      </w:r>
    </w:p>
    <w:p w14:paraId="68B9428D">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自政府采购合同签订生效之日起至本项目所有服务内容完成之日止。</w:t>
      </w:r>
      <w:r>
        <w:rPr>
          <w:rFonts w:hint="eastAsia" w:ascii="宋体" w:hAnsi="宋体" w:eastAsia="宋体" w:cs="宋体"/>
          <w:sz w:val="24"/>
          <w:szCs w:val="24"/>
          <w:highlight w:val="none"/>
          <w:u w:val="single"/>
        </w:rPr>
        <w:t>2026年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日</w:t>
      </w:r>
      <w:r>
        <w:rPr>
          <w:rFonts w:hint="eastAsia" w:ascii="宋体" w:hAnsi="宋体" w:eastAsia="宋体" w:cs="宋体"/>
          <w:sz w:val="24"/>
          <w:szCs w:val="24"/>
          <w:highlight w:val="none"/>
        </w:rPr>
        <w:t>前需要完成采购人要求的服务内容。</w:t>
      </w:r>
    </w:p>
    <w:p w14:paraId="7A0358DE">
      <w:pPr>
        <w:spacing w:before="156" w:beforeLines="50" w:after="156" w:afterLines="50" w:line="600" w:lineRule="exact"/>
        <w:outlineLvl w:val="0"/>
        <w:rPr>
          <w:rFonts w:hint="eastAsia" w:ascii="宋体" w:hAnsi="宋体" w:eastAsia="宋体" w:cs="宋体"/>
          <w:b/>
          <w:sz w:val="24"/>
          <w:szCs w:val="24"/>
          <w:highlight w:val="none"/>
        </w:rPr>
      </w:pPr>
      <w:bookmarkStart w:id="5" w:name="_Toc9116"/>
      <w:r>
        <w:rPr>
          <w:rFonts w:hint="eastAsia" w:ascii="宋体" w:hAnsi="宋体" w:eastAsia="宋体" w:cs="宋体"/>
          <w:b/>
          <w:sz w:val="24"/>
          <w:szCs w:val="24"/>
          <w:highlight w:val="none"/>
        </w:rPr>
        <w:t>二、合同金额及付款方式</w:t>
      </w:r>
      <w:bookmarkEnd w:id="5"/>
    </w:p>
    <w:p w14:paraId="406C7FF0">
      <w:pPr>
        <w:keepNext w:val="0"/>
        <w:keepLines w:val="0"/>
        <w:pageBreakBefore w:val="0"/>
        <w:kinsoku/>
        <w:wordWrap/>
        <w:overflowPunct/>
        <w:topLinePunct w:val="0"/>
        <w:autoSpaceDE/>
        <w:autoSpaceDN/>
        <w:bidi w:val="0"/>
        <w:adjustRightInd/>
        <w:snapToGrid/>
        <w:spacing w:line="560" w:lineRule="exact"/>
        <w:ind w:left="1439" w:leftChars="228" w:hanging="960" w:hangingChars="4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（一）合同总金额：本项目合同总金额为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en-US" w:eastAsia="zh-CN"/>
        </w:rPr>
        <w:t>元</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Hans"/>
        </w:rPr>
        <w:t>元</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即</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元</w:t>
      </w:r>
      <w:r>
        <w:rPr>
          <w:rFonts w:hint="eastAsia" w:ascii="宋体" w:hAnsi="宋体" w:eastAsia="宋体" w:cs="宋体"/>
          <w:sz w:val="24"/>
          <w:szCs w:val="24"/>
          <w:highlight w:val="none"/>
        </w:rPr>
        <w:t>；</w:t>
      </w:r>
    </w:p>
    <w:p w14:paraId="56F6008F">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（二）付款期限及方式：</w:t>
      </w:r>
    </w:p>
    <w:p w14:paraId="1E007919">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1.自合同签订后</w:t>
      </w:r>
      <w:r>
        <w:rPr>
          <w:rFonts w:hint="eastAsia" w:ascii="宋体" w:hAnsi="宋体" w:eastAsia="宋体" w:cs="宋体"/>
          <w:sz w:val="24"/>
          <w:szCs w:val="24"/>
          <w:highlight w:val="none"/>
          <w:lang w:val="en-US" w:eastAsia="zh-CN"/>
        </w:rPr>
        <w:t>60</w:t>
      </w:r>
      <w:r>
        <w:rPr>
          <w:rFonts w:hint="eastAsia" w:ascii="宋体" w:hAnsi="宋体" w:eastAsia="宋体" w:cs="宋体"/>
          <w:sz w:val="24"/>
          <w:szCs w:val="24"/>
          <w:highlight w:val="none"/>
        </w:rPr>
        <w:t>个日历天之内，乙方提供相应发票，甲方支付合同额总金额的</w:t>
      </w:r>
      <w:r>
        <w:rPr>
          <w:rFonts w:hint="eastAsia" w:ascii="宋体" w:hAnsi="宋体" w:eastAsia="宋体" w:cs="宋体"/>
          <w:sz w:val="24"/>
          <w:szCs w:val="24"/>
          <w:highlight w:val="none"/>
          <w:u w:val="single"/>
          <w:lang w:val="en-US" w:eastAsia="zh-CN"/>
        </w:rPr>
        <w:t xml:space="preserve"> 3</w:t>
      </w:r>
      <w:r>
        <w:rPr>
          <w:rFonts w:hint="eastAsia" w:ascii="宋体" w:hAnsi="宋体" w:eastAsia="宋体" w:cs="宋体"/>
          <w:sz w:val="24"/>
          <w:szCs w:val="24"/>
          <w:highlight w:val="none"/>
          <w:u w:val="single"/>
        </w:rPr>
        <w:t>0%</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的款项即</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元）；</w:t>
      </w:r>
    </w:p>
    <w:p w14:paraId="12988403">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2.待未央区“十五五”规划初稿提交后60个日历天之内，</w:t>
      </w:r>
      <w:r>
        <w:rPr>
          <w:rFonts w:hint="eastAsia" w:ascii="宋体" w:hAnsi="宋体" w:eastAsia="宋体" w:cs="宋体"/>
          <w:sz w:val="24"/>
          <w:szCs w:val="24"/>
          <w:highlight w:val="none"/>
        </w:rPr>
        <w:t>乙方提供相应发票，</w:t>
      </w:r>
      <w:r>
        <w:rPr>
          <w:rFonts w:hint="eastAsia" w:ascii="宋体" w:hAnsi="宋体" w:eastAsia="宋体" w:cs="宋体"/>
          <w:sz w:val="24"/>
          <w:szCs w:val="24"/>
          <w:highlight w:val="none"/>
          <w:lang w:val="en-US" w:eastAsia="zh-CN"/>
        </w:rPr>
        <w:t>甲方支付合同额总金额的</w:t>
      </w:r>
      <w:r>
        <w:rPr>
          <w:rFonts w:hint="eastAsia" w:ascii="宋体" w:hAnsi="宋体" w:eastAsia="宋体" w:cs="宋体"/>
          <w:sz w:val="24"/>
          <w:szCs w:val="24"/>
          <w:highlight w:val="none"/>
          <w:u w:val="single"/>
          <w:lang w:val="en-US" w:eastAsia="zh-CN"/>
        </w:rPr>
        <w:t xml:space="preserve"> 3</w:t>
      </w:r>
      <w:r>
        <w:rPr>
          <w:rFonts w:hint="eastAsia" w:ascii="宋体" w:hAnsi="宋体" w:eastAsia="宋体" w:cs="宋体"/>
          <w:sz w:val="24"/>
          <w:szCs w:val="24"/>
          <w:highlight w:val="none"/>
          <w:u w:val="single"/>
        </w:rPr>
        <w:t>0%</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的款项即</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元）；</w:t>
      </w:r>
    </w:p>
    <w:p w14:paraId="2B439B27">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.待项目结题验收合格后，无任何质量问题、无争议索赔的情况下</w:t>
      </w:r>
      <w:r>
        <w:rPr>
          <w:rFonts w:hint="eastAsia" w:ascii="宋体" w:hAnsi="宋体" w:eastAsia="宋体" w:cs="宋体"/>
          <w:sz w:val="24"/>
          <w:szCs w:val="24"/>
          <w:highlight w:val="none"/>
          <w:lang w:val="en-US" w:eastAsia="zh-CN"/>
        </w:rPr>
        <w:t>90</w:t>
      </w:r>
      <w:r>
        <w:rPr>
          <w:rFonts w:hint="eastAsia" w:ascii="宋体" w:hAnsi="宋体" w:eastAsia="宋体" w:cs="宋体"/>
          <w:sz w:val="24"/>
          <w:szCs w:val="24"/>
          <w:highlight w:val="none"/>
        </w:rPr>
        <w:t>个日历天之内不计利息一次付清剩余</w:t>
      </w:r>
      <w:r>
        <w:rPr>
          <w:rFonts w:hint="eastAsia" w:ascii="宋体" w:hAnsi="宋体" w:eastAsia="宋体" w:cs="宋体"/>
          <w:sz w:val="24"/>
          <w:szCs w:val="24"/>
          <w:highlight w:val="none"/>
          <w:u w:val="single"/>
          <w:lang w:val="en-US" w:eastAsia="zh-CN"/>
        </w:rPr>
        <w:t xml:space="preserve"> 4</w:t>
      </w:r>
      <w:r>
        <w:rPr>
          <w:rFonts w:hint="eastAsia" w:ascii="宋体" w:hAnsi="宋体" w:eastAsia="宋体" w:cs="宋体"/>
          <w:sz w:val="24"/>
          <w:szCs w:val="24"/>
          <w:highlight w:val="none"/>
          <w:u w:val="single"/>
        </w:rPr>
        <w:t>0%</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的款项即</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rPr>
        <w:t>（</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kern w:val="2"/>
          <w:sz w:val="24"/>
          <w:szCs w:val="24"/>
          <w:highlight w:val="none"/>
        </w:rPr>
        <w:t>元）</w:t>
      </w:r>
      <w:r>
        <w:rPr>
          <w:rFonts w:hint="eastAsia" w:ascii="宋体" w:hAnsi="宋体" w:eastAsia="宋体" w:cs="宋体"/>
          <w:sz w:val="24"/>
          <w:szCs w:val="24"/>
          <w:highlight w:val="none"/>
        </w:rPr>
        <w:t>。如乙方项目结题未能验收合格，则甲方有权拒绝支付剩余款项，并由乙方承担甲方重新进行规划编制所需的全部花</w:t>
      </w:r>
      <w:r>
        <w:rPr>
          <w:rFonts w:hint="eastAsia" w:ascii="宋体" w:hAnsi="宋体" w:eastAsia="宋体" w:cs="宋体"/>
          <w:sz w:val="24"/>
          <w:szCs w:val="24"/>
          <w:highlight w:val="none"/>
          <w:lang w:val="en-US" w:eastAsia="zh-CN"/>
        </w:rPr>
        <w:t>费；</w:t>
      </w:r>
    </w:p>
    <w:p w14:paraId="3948A3C2">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480" w:firstLineChars="200"/>
        <w:jc w:val="both"/>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甲方</w:t>
      </w:r>
      <w:r>
        <w:rPr>
          <w:rFonts w:hint="eastAsia" w:ascii="宋体" w:hAnsi="宋体" w:eastAsia="宋体" w:cs="宋体"/>
          <w:sz w:val="24"/>
          <w:szCs w:val="24"/>
          <w:highlight w:val="none"/>
          <w:lang w:val="en-US" w:eastAsia="zh-CN"/>
        </w:rPr>
        <w:t>向乙方付款前，</w:t>
      </w:r>
      <w:r>
        <w:rPr>
          <w:rFonts w:hint="eastAsia" w:ascii="宋体" w:hAnsi="宋体" w:eastAsia="宋体" w:cs="宋体"/>
          <w:sz w:val="24"/>
          <w:szCs w:val="24"/>
          <w:highlight w:val="none"/>
        </w:rPr>
        <w:t>乙方向甲方出具相应足额发票</w:t>
      </w:r>
      <w:r>
        <w:rPr>
          <w:rFonts w:hint="eastAsia" w:ascii="宋体" w:hAnsi="宋体" w:eastAsia="宋体" w:cs="宋体"/>
          <w:sz w:val="24"/>
          <w:szCs w:val="24"/>
          <w:highlight w:val="none"/>
          <w:lang w:eastAsia="zh-CN"/>
        </w:rPr>
        <w:t>；</w:t>
      </w:r>
    </w:p>
    <w:p w14:paraId="7602D25D">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5.如甲方因财政资金未拨付而未按时向乙方付款，视财政资金到位情况，进行结算。</w:t>
      </w:r>
    </w:p>
    <w:p w14:paraId="5E0C18B3">
      <w:pPr>
        <w:spacing w:before="156" w:beforeLines="50" w:after="156" w:afterLines="50" w:line="600" w:lineRule="exact"/>
        <w:outlineLvl w:val="0"/>
        <w:rPr>
          <w:rFonts w:hint="eastAsia" w:ascii="宋体" w:hAnsi="宋体" w:eastAsia="宋体" w:cs="宋体"/>
          <w:b/>
          <w:sz w:val="24"/>
          <w:szCs w:val="24"/>
          <w:highlight w:val="none"/>
        </w:rPr>
      </w:pPr>
      <w:bookmarkStart w:id="6" w:name="_Toc5256"/>
      <w:r>
        <w:rPr>
          <w:rFonts w:hint="eastAsia" w:ascii="宋体" w:hAnsi="宋体" w:eastAsia="宋体" w:cs="宋体"/>
          <w:b/>
          <w:sz w:val="24"/>
          <w:szCs w:val="24"/>
          <w:highlight w:val="none"/>
        </w:rPr>
        <w:t>三、甲乙双方的权利和义务</w:t>
      </w:r>
      <w:bookmarkEnd w:id="6"/>
    </w:p>
    <w:p w14:paraId="1FF262B6">
      <w:pPr>
        <w:keepNext w:val="0"/>
        <w:keepLines w:val="0"/>
        <w:pageBreakBefore w:val="0"/>
        <w:widowControl w:val="0"/>
        <w:tabs>
          <w:tab w:val="left" w:pos="420"/>
        </w:tabs>
        <w:kinsoku/>
        <w:wordWrap/>
        <w:overflowPunct/>
        <w:topLinePunct w:val="0"/>
        <w:autoSpaceDE/>
        <w:autoSpaceDN/>
        <w:bidi w:val="0"/>
        <w:adjustRightInd/>
        <w:snapToGrid/>
        <w:spacing w:line="560" w:lineRule="exact"/>
        <w:ind w:lef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甲方的权利与义务：</w:t>
      </w:r>
    </w:p>
    <w:p w14:paraId="1A949812">
      <w:pPr>
        <w:keepNext w:val="0"/>
        <w:keepLines w:val="0"/>
        <w:pageBreakBefore w:val="0"/>
        <w:widowControl w:val="0"/>
        <w:kinsoku/>
        <w:wordWrap/>
        <w:overflowPunct/>
        <w:topLinePunct w:val="0"/>
        <w:autoSpaceDE/>
        <w:autoSpaceDN/>
        <w:bidi w:val="0"/>
        <w:adjustRightInd/>
        <w:snapToGrid/>
        <w:spacing w:line="560" w:lineRule="exact"/>
        <w:ind w:left="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（一）权利</w:t>
      </w:r>
    </w:p>
    <w:p w14:paraId="3C023533">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1.甲方有权对乙方的工作质量和工作进度进行督促和检查，乙方对甲方的合理合规意见和建议应当采纳并及时修正；</w:t>
      </w:r>
    </w:p>
    <w:p w14:paraId="47F45339">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2.甲方有权对乙方的工作内容提出不超出行业相关技术、标准的要求；</w:t>
      </w:r>
    </w:p>
    <w:p w14:paraId="1F2EDDC9">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3.甲方有权就乙方的工作人员和具体工作安排提出意见及建议，乙方应当及时反馈并妥善安排，保障项目及时高效完成。</w:t>
      </w:r>
    </w:p>
    <w:p w14:paraId="7C8EA089">
      <w:pPr>
        <w:keepNext w:val="0"/>
        <w:keepLines w:val="0"/>
        <w:pageBreakBefore w:val="0"/>
        <w:widowControl w:val="0"/>
        <w:kinsoku/>
        <w:wordWrap/>
        <w:overflowPunct/>
        <w:topLinePunct w:val="0"/>
        <w:autoSpaceDE/>
        <w:autoSpaceDN/>
        <w:bidi w:val="0"/>
        <w:adjustRightInd/>
        <w:snapToGrid/>
        <w:spacing w:line="560" w:lineRule="exact"/>
        <w:ind w:left="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（二）义务</w:t>
      </w:r>
    </w:p>
    <w:p w14:paraId="3F296C96">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1.甲方应及时、准确地向乙方提供本项目所需资料及基础数据，并保证所提供资料的真实性、合法性。如因甲方基础资料提供不真实、不及时致使乙方项目推进迟延，乙方有权请求项目时间延期；</w:t>
      </w:r>
    </w:p>
    <w:p w14:paraId="09A65285">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2.甲方应就乙方反馈的问题及时作出明确答复，不得无故拖延致使项目展期，如有此类现象乙方有权作出相应免责声明，甲方应就相应不利后果承担责任；</w:t>
      </w:r>
    </w:p>
    <w:p w14:paraId="12AB2579">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在财政资金拨付到位的情况下，</w:t>
      </w:r>
      <w:r>
        <w:rPr>
          <w:rFonts w:hint="eastAsia" w:ascii="宋体" w:hAnsi="宋体" w:eastAsia="宋体" w:cs="宋体"/>
          <w:sz w:val="24"/>
          <w:szCs w:val="24"/>
          <w:highlight w:val="none"/>
        </w:rPr>
        <w:t>甲方应当根据合同约定的付款日期和金额，按时足额向乙方支付款项；</w:t>
      </w:r>
    </w:p>
    <w:p w14:paraId="3CB1AABC">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4.如项目成果需要评审，甲方应当及时组织评审活动，如因甲方组织评审迟延致使项目延期，相应不利后果由甲方承担。</w:t>
      </w:r>
    </w:p>
    <w:p w14:paraId="2B61A8B5">
      <w:pPr>
        <w:keepNext w:val="0"/>
        <w:keepLines w:val="0"/>
        <w:pageBreakBefore w:val="0"/>
        <w:widowControl w:val="0"/>
        <w:tabs>
          <w:tab w:val="left" w:pos="420"/>
        </w:tabs>
        <w:kinsoku/>
        <w:wordWrap/>
        <w:overflowPunct/>
        <w:topLinePunct w:val="0"/>
        <w:autoSpaceDE/>
        <w:autoSpaceDN/>
        <w:bidi w:val="0"/>
        <w:adjustRightInd/>
        <w:snapToGrid/>
        <w:spacing w:line="560" w:lineRule="exact"/>
        <w:ind w:lef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乙方的权利与义务：</w:t>
      </w:r>
    </w:p>
    <w:p w14:paraId="797C7D58">
      <w:pPr>
        <w:keepNext w:val="0"/>
        <w:keepLines w:val="0"/>
        <w:pageBreakBefore w:val="0"/>
        <w:widowControl w:val="0"/>
        <w:kinsoku/>
        <w:wordWrap/>
        <w:overflowPunct/>
        <w:topLinePunct w:val="0"/>
        <w:autoSpaceDE/>
        <w:autoSpaceDN/>
        <w:bidi w:val="0"/>
        <w:adjustRightInd/>
        <w:snapToGrid/>
        <w:spacing w:line="560" w:lineRule="exact"/>
        <w:ind w:left="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（一）权利</w:t>
      </w:r>
    </w:p>
    <w:p w14:paraId="11931DD5">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1.乙方有权要求甲方按照项目资料清单及时提供项目编制所需的相应文本及数据资料；</w:t>
      </w:r>
    </w:p>
    <w:p w14:paraId="7EA0BEB2">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2.乙方有权要求甲方支持并充分配合乙方开展调研工作，甲方应当在职权范围内提供相应便利，如因甲方不予积极配合调研工作致使项目质量或进度无法得到保障，乙方概不承担相应责任；</w:t>
      </w:r>
    </w:p>
    <w:p w14:paraId="45E8F234">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3.乙方有权要求甲方参与项目的相关部门及工作人员积极配合开展工作，如因甲方相关部门及工作人员的故意及过失等原因致使项目拖延，乙方概不承担相应责任；</w:t>
      </w:r>
    </w:p>
    <w:p w14:paraId="1E5B1E62">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4.乙方有权要求甲方按时、足额支付合同约定的金额。</w:t>
      </w:r>
    </w:p>
    <w:p w14:paraId="66FC025B">
      <w:pPr>
        <w:keepNext w:val="0"/>
        <w:keepLines w:val="0"/>
        <w:pageBreakBefore w:val="0"/>
        <w:widowControl w:val="0"/>
        <w:kinsoku/>
        <w:wordWrap/>
        <w:overflowPunct/>
        <w:topLinePunct w:val="0"/>
        <w:autoSpaceDE/>
        <w:autoSpaceDN/>
        <w:bidi w:val="0"/>
        <w:adjustRightInd/>
        <w:snapToGrid/>
        <w:spacing w:line="560" w:lineRule="exact"/>
        <w:ind w:left="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（二）义务</w:t>
      </w:r>
    </w:p>
    <w:p w14:paraId="48DD087E">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1.乙方应当勤勉尽职按照国家有关规定、规范及本合同规定的服务内容及时完成项目服务；</w:t>
      </w:r>
    </w:p>
    <w:p w14:paraId="60EC7071">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2.乙方如遇国家政策变化、自然灾害等不可抗力原因，不能按时完成项目编制，乙方应当及时向甲方报告，并就后期合同履行进行协商，不得无故拖延致使项目延期；</w:t>
      </w:r>
    </w:p>
    <w:p w14:paraId="3B4708CD">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3.乙方应严格按照合同约定的时间如期向甲方提交相应的服务项目成果。</w:t>
      </w:r>
    </w:p>
    <w:p w14:paraId="683574BF">
      <w:pPr>
        <w:keepNext w:val="0"/>
        <w:keepLines w:val="0"/>
        <w:pageBreakBefore w:val="0"/>
        <w:widowControl w:val="0"/>
        <w:kinsoku/>
        <w:wordWrap/>
        <w:overflowPunct/>
        <w:topLinePunct w:val="0"/>
        <w:autoSpaceDE/>
        <w:autoSpaceDN/>
        <w:bidi w:val="0"/>
        <w:adjustRightInd/>
        <w:snapToGrid/>
        <w:spacing w:line="560" w:lineRule="exact"/>
        <w:ind w:left="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乙方</w:t>
      </w:r>
      <w:r>
        <w:rPr>
          <w:rFonts w:hint="eastAsia" w:ascii="宋体" w:hAnsi="宋体" w:eastAsia="宋体" w:cs="宋体"/>
          <w:sz w:val="24"/>
          <w:szCs w:val="24"/>
          <w:highlight w:val="none"/>
          <w:lang w:val="en-US" w:eastAsia="zh-CN"/>
        </w:rPr>
        <w:t>需</w:t>
      </w:r>
      <w:r>
        <w:rPr>
          <w:rFonts w:hint="eastAsia" w:ascii="宋体" w:hAnsi="宋体" w:eastAsia="宋体" w:cs="宋体"/>
          <w:sz w:val="24"/>
          <w:szCs w:val="24"/>
          <w:highlight w:val="none"/>
        </w:rPr>
        <w:t>协助甲方做好汇报及评审工作</w:t>
      </w:r>
      <w:r>
        <w:rPr>
          <w:rFonts w:hint="eastAsia" w:ascii="宋体" w:hAnsi="宋体" w:eastAsia="宋体" w:cs="宋体"/>
          <w:sz w:val="24"/>
          <w:szCs w:val="24"/>
          <w:highlight w:val="none"/>
          <w:lang w:eastAsia="zh-CN"/>
        </w:rPr>
        <w:t>。</w:t>
      </w:r>
    </w:p>
    <w:p w14:paraId="5E8709C2">
      <w:pPr>
        <w:spacing w:before="156" w:beforeLines="50" w:after="156" w:afterLines="50" w:line="600" w:lineRule="exact"/>
        <w:outlineLvl w:val="0"/>
        <w:rPr>
          <w:rFonts w:hint="eastAsia" w:ascii="宋体" w:hAnsi="宋体" w:eastAsia="宋体" w:cs="宋体"/>
          <w:b/>
          <w:sz w:val="24"/>
          <w:szCs w:val="24"/>
          <w:highlight w:val="none"/>
        </w:rPr>
      </w:pPr>
      <w:bookmarkStart w:id="7" w:name="_Toc13871"/>
      <w:r>
        <w:rPr>
          <w:rFonts w:hint="eastAsia" w:ascii="宋体" w:hAnsi="宋体" w:eastAsia="宋体" w:cs="宋体"/>
          <w:b/>
          <w:sz w:val="24"/>
          <w:szCs w:val="24"/>
          <w:highlight w:val="none"/>
        </w:rPr>
        <w:t>四、合同的履行、违约责任及争议的解决</w:t>
      </w:r>
      <w:bookmarkEnd w:id="7"/>
    </w:p>
    <w:p w14:paraId="02DD98A4">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（一）如因乙方擅自无故终止合同，无权继续获得项目费用，并退还已收取的所有服务费，并向甲方支付总服务费的40%作为违约金，若因此给甲方造成损失的，乙方还应向甲方赔偿损失。</w:t>
      </w:r>
    </w:p>
    <w:p w14:paraId="54663CAF">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（二）乙方所交付的成果应经甲方及时验收，若成果不符合甲方提出不超出国家、行业相关技术和标准的要求，乙方应对甲方的合理、合规意见及时采纳并予以修改完善。</w:t>
      </w:r>
    </w:p>
    <w:p w14:paraId="45DA14A8">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（三）其他未尽事宜，由双方协商一致另行达成补充协议处理。</w:t>
      </w:r>
    </w:p>
    <w:p w14:paraId="6F1FD19B">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rPr>
        <w:t>）合同履行过程中双方发生争议，双方均可向甲方所在地人民法院起诉。</w:t>
      </w:r>
    </w:p>
    <w:p w14:paraId="484FA6CE">
      <w:pPr>
        <w:spacing w:before="156" w:beforeLines="50" w:after="156" w:afterLines="50" w:line="600" w:lineRule="exact"/>
        <w:outlineLvl w:val="0"/>
        <w:rPr>
          <w:rFonts w:hint="eastAsia" w:ascii="宋体" w:hAnsi="宋体" w:eastAsia="宋体" w:cs="宋体"/>
          <w:b/>
          <w:sz w:val="24"/>
          <w:szCs w:val="24"/>
          <w:highlight w:val="none"/>
        </w:rPr>
      </w:pPr>
      <w:bookmarkStart w:id="8" w:name="_Toc21223"/>
      <w:r>
        <w:rPr>
          <w:rFonts w:hint="eastAsia" w:ascii="宋体" w:hAnsi="宋体" w:eastAsia="宋体" w:cs="宋体"/>
          <w:b/>
          <w:sz w:val="24"/>
          <w:szCs w:val="24"/>
          <w:highlight w:val="none"/>
        </w:rPr>
        <w:t>五、保密约定</w:t>
      </w:r>
      <w:bookmarkEnd w:id="8"/>
    </w:p>
    <w:p w14:paraId="7D9A1E54">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在项目执行期间，甲、乙双方共同按要求履行保密事宜，不得向任何第三方泄露与项目有关的信息，如因合理需求需要向第三方披露相关信息，应当征得合同相对方的书面同意，否则一方有权追究另一方的泄密责任。</w:t>
      </w:r>
    </w:p>
    <w:p w14:paraId="644DDB65">
      <w:pPr>
        <w:spacing w:before="156" w:beforeLines="50" w:after="156" w:afterLines="50" w:line="600" w:lineRule="exact"/>
        <w:outlineLvl w:val="0"/>
        <w:rPr>
          <w:rFonts w:hint="eastAsia" w:ascii="宋体" w:hAnsi="宋体" w:eastAsia="宋体" w:cs="宋体"/>
          <w:b/>
          <w:sz w:val="24"/>
          <w:szCs w:val="24"/>
          <w:highlight w:val="none"/>
        </w:rPr>
      </w:pPr>
      <w:bookmarkStart w:id="9" w:name="_Toc6882"/>
      <w:r>
        <w:rPr>
          <w:rFonts w:hint="eastAsia" w:ascii="宋体" w:hAnsi="宋体" w:eastAsia="宋体" w:cs="宋体"/>
          <w:b/>
          <w:sz w:val="24"/>
          <w:szCs w:val="24"/>
          <w:highlight w:val="none"/>
        </w:rPr>
        <w:t>六、附则</w:t>
      </w:r>
      <w:bookmarkEnd w:id="9"/>
    </w:p>
    <w:p w14:paraId="082B0F7C">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（一）本合同自双方签字、盖章之日起生效。履行期间发生争议的，双方均可向甲方所在地人民法院提起诉讼。</w:t>
      </w:r>
    </w:p>
    <w:p w14:paraId="0478E492">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（二）本合同一式肆份，双方各执贰份，具有同等法律效力。</w:t>
      </w:r>
    </w:p>
    <w:p w14:paraId="578A040F">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（三）本合同未尽事宜，由双方另行签订补充协议予以完善。</w:t>
      </w:r>
    </w:p>
    <w:p w14:paraId="0122480B">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（四）本合同若有补充协议及附件等文件，同为本合同不可分割的组成部分，与本合同具有同等法律效力。</w:t>
      </w:r>
    </w:p>
    <w:p w14:paraId="642BA46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（以下无正文，转签章页）</w:t>
      </w:r>
    </w:p>
    <w:p w14:paraId="205696B2">
      <w:pPr>
        <w:adjustRightInd w:val="0"/>
        <w:snapToGrid w:val="0"/>
        <w:spacing w:line="600" w:lineRule="exact"/>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br w:type="page"/>
      </w:r>
      <w:r>
        <w:rPr>
          <w:rFonts w:hint="eastAsia" w:ascii="宋体" w:hAnsi="宋体" w:eastAsia="宋体" w:cs="宋体"/>
          <w:b/>
          <w:sz w:val="24"/>
          <w:szCs w:val="24"/>
          <w:highlight w:val="none"/>
        </w:rPr>
        <w:t>（本页无正文，为签章页）</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33"/>
        <w:gridCol w:w="4586"/>
      </w:tblGrid>
      <w:tr w14:paraId="2CC0F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8" w:hRule="atLeast"/>
        </w:trPr>
        <w:tc>
          <w:tcPr>
            <w:tcW w:w="4733" w:type="dxa"/>
          </w:tcPr>
          <w:p w14:paraId="2ACBAEC7">
            <w:pPr>
              <w:rPr>
                <w:rFonts w:hint="eastAsia" w:ascii="宋体" w:hAnsi="宋体" w:eastAsia="宋体" w:cs="宋体"/>
                <w:sz w:val="24"/>
                <w:szCs w:val="24"/>
                <w:highlight w:val="none"/>
              </w:rPr>
            </w:pPr>
            <w:r>
              <w:rPr>
                <w:rFonts w:hint="eastAsia" w:ascii="宋体" w:hAnsi="宋体" w:eastAsia="宋体" w:cs="宋体"/>
                <w:sz w:val="24"/>
                <w:szCs w:val="24"/>
                <w:highlight w:val="none"/>
              </w:rPr>
              <w:t>甲   方（盖章）</w:t>
            </w:r>
          </w:p>
          <w:p w14:paraId="3D99F5FA">
            <w:pPr>
              <w:rPr>
                <w:rFonts w:hint="eastAsia" w:ascii="宋体" w:hAnsi="宋体" w:eastAsia="宋体" w:cs="宋体"/>
                <w:sz w:val="24"/>
                <w:szCs w:val="24"/>
                <w:highlight w:val="none"/>
              </w:rPr>
            </w:pPr>
          </w:p>
          <w:p w14:paraId="467D5FF9">
            <w:pPr>
              <w:rPr>
                <w:rFonts w:hint="eastAsia" w:ascii="宋体" w:hAnsi="宋体" w:eastAsia="宋体" w:cs="宋体"/>
                <w:sz w:val="24"/>
                <w:szCs w:val="24"/>
                <w:highlight w:val="none"/>
              </w:rPr>
            </w:pPr>
          </w:p>
          <w:p w14:paraId="5405B490">
            <w:pPr>
              <w:rPr>
                <w:rFonts w:hint="eastAsia" w:ascii="宋体" w:hAnsi="宋体" w:eastAsia="宋体" w:cs="宋体"/>
                <w:sz w:val="24"/>
                <w:szCs w:val="24"/>
                <w:highlight w:val="none"/>
              </w:rPr>
            </w:pPr>
          </w:p>
        </w:tc>
        <w:tc>
          <w:tcPr>
            <w:tcW w:w="4586" w:type="dxa"/>
          </w:tcPr>
          <w:p w14:paraId="7FD8E896">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   方（盖章）</w:t>
            </w:r>
          </w:p>
          <w:p w14:paraId="4868B888">
            <w:pPr>
              <w:rPr>
                <w:rFonts w:hint="eastAsia" w:ascii="宋体" w:hAnsi="宋体" w:eastAsia="宋体" w:cs="宋体"/>
                <w:sz w:val="24"/>
                <w:szCs w:val="24"/>
                <w:highlight w:val="none"/>
              </w:rPr>
            </w:pPr>
          </w:p>
          <w:p w14:paraId="35EF121B">
            <w:pPr>
              <w:rPr>
                <w:rFonts w:hint="eastAsia" w:ascii="宋体" w:hAnsi="宋体" w:eastAsia="宋体" w:cs="宋体"/>
                <w:sz w:val="24"/>
                <w:szCs w:val="24"/>
                <w:highlight w:val="none"/>
              </w:rPr>
            </w:pPr>
          </w:p>
          <w:p w14:paraId="5BC622F1">
            <w:pPr>
              <w:rPr>
                <w:rFonts w:hint="eastAsia" w:ascii="宋体" w:hAnsi="宋体" w:eastAsia="宋体" w:cs="宋体"/>
                <w:sz w:val="24"/>
                <w:szCs w:val="24"/>
                <w:highlight w:val="none"/>
              </w:rPr>
            </w:pPr>
          </w:p>
        </w:tc>
      </w:tr>
      <w:tr w14:paraId="0A39A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0" w:hRule="atLeast"/>
        </w:trPr>
        <w:tc>
          <w:tcPr>
            <w:tcW w:w="4733" w:type="dxa"/>
            <w:tcBorders>
              <w:left w:val="single" w:color="auto" w:sz="4" w:space="0"/>
              <w:bottom w:val="single" w:color="auto" w:sz="4" w:space="0"/>
            </w:tcBorders>
          </w:tcPr>
          <w:p w14:paraId="1599F507">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单位名称：西安市未央区发展和改革委员会</w:t>
            </w:r>
          </w:p>
          <w:p w14:paraId="1C7A3480">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单位地址：西安市未央区张家堡街道未央路盛龙广场1号楼2单元13层</w:t>
            </w:r>
          </w:p>
          <w:p w14:paraId="0ABD5888">
            <w:pPr>
              <w:pStyle w:val="2"/>
              <w:rPr>
                <w:rFonts w:hint="eastAsia" w:ascii="宋体" w:hAnsi="宋体" w:eastAsia="宋体" w:cs="宋体"/>
                <w:sz w:val="24"/>
                <w:szCs w:val="24"/>
                <w:highlight w:val="none"/>
              </w:rPr>
            </w:pPr>
          </w:p>
          <w:p w14:paraId="3C97E039">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p>
          <w:p w14:paraId="1A263EF1">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委托代理人：</w:t>
            </w:r>
          </w:p>
          <w:p w14:paraId="6035EE79">
            <w:pPr>
              <w:pStyle w:val="2"/>
              <w:rPr>
                <w:rFonts w:hint="eastAsia" w:ascii="宋体" w:hAnsi="宋体" w:eastAsia="宋体" w:cs="宋体"/>
                <w:sz w:val="24"/>
                <w:szCs w:val="24"/>
                <w:highlight w:val="none"/>
              </w:rPr>
            </w:pPr>
          </w:p>
          <w:p w14:paraId="06C55913">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电    话：</w:t>
            </w:r>
          </w:p>
          <w:p w14:paraId="1342E171">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传    真：</w:t>
            </w:r>
          </w:p>
          <w:p w14:paraId="1DACCF21">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邮政编码：710000</w:t>
            </w:r>
          </w:p>
          <w:p w14:paraId="5C319A1F">
            <w:pPr>
              <w:widowControl/>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联 系 人：</w:t>
            </w:r>
          </w:p>
          <w:p w14:paraId="67F3B734">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tc>
        <w:tc>
          <w:tcPr>
            <w:tcW w:w="4586" w:type="dxa"/>
            <w:tcBorders>
              <w:bottom w:val="single" w:color="auto" w:sz="4" w:space="0"/>
            </w:tcBorders>
          </w:tcPr>
          <w:p w14:paraId="27E98C11">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单位名称：</w:t>
            </w:r>
          </w:p>
          <w:p w14:paraId="675ECB81">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单位地址：</w:t>
            </w:r>
          </w:p>
          <w:p w14:paraId="772DA6E7">
            <w:pPr>
              <w:pStyle w:val="2"/>
              <w:rPr>
                <w:rFonts w:hint="eastAsia" w:ascii="宋体" w:hAnsi="宋体" w:eastAsia="宋体" w:cs="宋体"/>
                <w:sz w:val="24"/>
                <w:szCs w:val="24"/>
                <w:highlight w:val="none"/>
              </w:rPr>
            </w:pPr>
          </w:p>
          <w:p w14:paraId="027838B7">
            <w:pPr>
              <w:widowControl/>
              <w:jc w:val="left"/>
              <w:rPr>
                <w:rFonts w:hint="eastAsia" w:ascii="宋体" w:hAnsi="宋体" w:eastAsia="宋体" w:cs="宋体"/>
                <w:sz w:val="24"/>
                <w:szCs w:val="24"/>
                <w:highlight w:val="none"/>
              </w:rPr>
            </w:pPr>
          </w:p>
          <w:p w14:paraId="3CE78CFF">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p>
          <w:p w14:paraId="32E493C2">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委托代理人：</w:t>
            </w:r>
          </w:p>
          <w:p w14:paraId="39B88A98">
            <w:pPr>
              <w:pStyle w:val="2"/>
              <w:rPr>
                <w:rFonts w:hint="eastAsia" w:ascii="宋体" w:hAnsi="宋体" w:eastAsia="宋体" w:cs="宋体"/>
                <w:sz w:val="24"/>
                <w:szCs w:val="24"/>
                <w:highlight w:val="none"/>
              </w:rPr>
            </w:pPr>
          </w:p>
          <w:p w14:paraId="22146A4C">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电    话：</w:t>
            </w:r>
          </w:p>
          <w:p w14:paraId="24B5B6F4">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p w14:paraId="601A2E01">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账    号：</w:t>
            </w:r>
          </w:p>
          <w:p w14:paraId="1A10D9D9">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传    真：</w:t>
            </w:r>
          </w:p>
          <w:p w14:paraId="51654D4B">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邮政编码：</w:t>
            </w:r>
          </w:p>
          <w:p w14:paraId="2667A01F">
            <w:pPr>
              <w:widowControl/>
              <w:jc w:val="left"/>
              <w:rPr>
                <w:rFonts w:hint="eastAsia" w:ascii="宋体" w:hAnsi="宋体" w:eastAsia="宋体" w:cs="宋体"/>
                <w:sz w:val="24"/>
                <w:szCs w:val="24"/>
                <w:highlight w:val="none"/>
                <w:lang w:eastAsia="zh-Hans"/>
              </w:rPr>
            </w:pPr>
            <w:r>
              <w:rPr>
                <w:rFonts w:hint="eastAsia" w:ascii="宋体" w:hAnsi="宋体" w:eastAsia="宋体" w:cs="宋体"/>
                <w:sz w:val="24"/>
                <w:szCs w:val="24"/>
                <w:highlight w:val="none"/>
              </w:rPr>
              <w:t>联 系 人：</w:t>
            </w:r>
          </w:p>
          <w:p w14:paraId="5F7C778E">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tc>
      </w:tr>
    </w:tbl>
    <w:p w14:paraId="721022B9">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AA6101"/>
    <w:rsid w:val="3FAA6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index 5"/>
    <w:basedOn w:val="1"/>
    <w:next w:val="1"/>
    <w:qFormat/>
    <w:uiPriority w:val="0"/>
    <w:pPr>
      <w:ind w:left="168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2025-03-28T05:50:00Z</dcterms:created>
  <dc:creator>doit</dc:creator>
  <cp:lastModifiedBy>doit</cp:lastModifiedBy>
  <dcterms:modified xsi:type="dcterms:W3CDTF">2025-03-28T05:50:43Z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2AF8BDC968A54E8B95CC6B148452E55B_11</vt:lpwstr>
  </property>
  <property fmtid="{D5CDD505-2E9C-101B-9397-08002B2CF9AE}" pid="4" name="KSOTemplateDocerSaveRecord">
    <vt:lpwstr>eyJoZGlkIjoiMzdhN2U3OWFkMjhlOTQ2ZmI5MTYwMjU1NWEzNTI2ZjEiLCJ1c2VySWQiOiI1NDQyNTk1OTUifQ==</vt:lpwstr>
  </property>
</Properties>
</file>