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D7232">
      <w:pPr>
        <w:numPr>
          <w:ilvl w:val="0"/>
          <w:numId w:val="0"/>
        </w:numPr>
        <w:snapToGrid w:val="0"/>
        <w:spacing w:line="360" w:lineRule="auto"/>
        <w:ind w:left="0" w:leftChars="0" w:right="0" w:rightChars="0" w:firstLine="0" w:firstLineChars="0"/>
        <w:jc w:val="center"/>
        <w:outlineLvl w:val="0"/>
        <w:rPr>
          <w:rFonts w:hint="eastAsia" w:ascii="宋体" w:hAnsi="宋体" w:eastAsia="宋体" w:cs="宋体"/>
          <w:b/>
          <w:bCs/>
          <w:sz w:val="32"/>
          <w:szCs w:val="32"/>
          <w:highlight w:val="none"/>
          <w:lang w:val="zh-CN"/>
        </w:rPr>
      </w:pPr>
      <w:bookmarkStart w:id="0" w:name="_Toc2756"/>
      <w:r>
        <w:rPr>
          <w:rFonts w:hint="eastAsia" w:ascii="宋体" w:hAnsi="宋体" w:eastAsia="宋体" w:cs="宋体"/>
          <w:b/>
          <w:bCs/>
          <w:sz w:val="32"/>
          <w:szCs w:val="32"/>
          <w:highlight w:val="none"/>
          <w:lang w:val="zh-CN"/>
        </w:rPr>
        <w:t>合同格式</w:t>
      </w:r>
      <w:bookmarkEnd w:id="0"/>
    </w:p>
    <w:p w14:paraId="1F271855">
      <w:pPr>
        <w:numPr>
          <w:ilvl w:val="0"/>
          <w:numId w:val="0"/>
        </w:numPr>
        <w:snapToGrid w:val="0"/>
        <w:spacing w:line="360" w:lineRule="auto"/>
        <w:ind w:left="0" w:leftChars="0" w:right="0" w:rightChars="0" w:firstLine="0" w:firstLineChars="0"/>
        <w:jc w:val="center"/>
        <w:outlineLvl w:val="0"/>
        <w:rPr>
          <w:rFonts w:hint="eastAsia" w:ascii="宋体" w:hAnsi="宋体" w:eastAsia="宋体" w:cs="宋体"/>
          <w:sz w:val="24"/>
          <w:szCs w:val="24"/>
          <w:highlight w:val="none"/>
          <w:lang w:eastAsia="zh-CN"/>
        </w:rPr>
      </w:pPr>
      <w:r>
        <w:rPr>
          <w:rFonts w:hint="eastAsia" w:ascii="宋体" w:hAnsi="宋体" w:eastAsia="宋体" w:cs="宋体"/>
          <w:sz w:val="28"/>
          <w:szCs w:val="28"/>
        </w:rPr>
        <w:t>（参考格式）</w:t>
      </w:r>
    </w:p>
    <w:p w14:paraId="7C88843D">
      <w:pPr>
        <w:tabs>
          <w:tab w:val="left" w:pos="735"/>
        </w:tabs>
        <w:autoSpaceDE w:val="0"/>
        <w:autoSpaceDN w:val="0"/>
        <w:adjustRightInd w:val="0"/>
        <w:snapToGrid w:val="0"/>
        <w:spacing w:before="240" w:beforeLines="100" w:line="360" w:lineRule="auto"/>
        <w:ind w:firstLine="629"/>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依据《中华人民共和国</w:t>
      </w:r>
      <w:r>
        <w:rPr>
          <w:rFonts w:hint="eastAsia" w:ascii="宋体" w:hAnsi="宋体" w:eastAsia="宋体" w:cs="宋体"/>
          <w:sz w:val="24"/>
          <w:szCs w:val="24"/>
          <w:highlight w:val="none"/>
          <w:lang w:val="en-US" w:eastAsia="zh-CN"/>
        </w:rPr>
        <w:t>民法典</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中华人民共和国政府采购法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和国家相关法律法规，在互惠互利的基础上，经双方友好协商，订立此合同书</w:t>
      </w:r>
      <w:r>
        <w:rPr>
          <w:rFonts w:hint="eastAsia" w:ascii="宋体" w:hAnsi="宋体" w:eastAsia="宋体" w:cs="宋体"/>
          <w:sz w:val="24"/>
          <w:szCs w:val="24"/>
          <w:highlight w:val="none"/>
          <w:lang w:eastAsia="zh-CN"/>
        </w:rPr>
        <w:t>。</w:t>
      </w:r>
    </w:p>
    <w:p w14:paraId="22C29933">
      <w:pPr>
        <w:tabs>
          <w:tab w:val="left" w:pos="735"/>
        </w:tabs>
        <w:autoSpaceDE w:val="0"/>
        <w:autoSpaceDN w:val="0"/>
        <w:adjustRightInd w:val="0"/>
        <w:snapToGrid w:val="0"/>
        <w:spacing w:before="240" w:beforeLines="100" w:line="360" w:lineRule="auto"/>
        <w:ind w:firstLine="629"/>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甲方：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lang w:val="en-US" w:eastAsia="zh-CN"/>
        </w:rPr>
        <w:t>采购人</w:t>
      </w:r>
      <w:r>
        <w:rPr>
          <w:rFonts w:hint="eastAsia" w:ascii="宋体" w:hAnsi="宋体" w:eastAsia="宋体" w:cs="宋体"/>
          <w:bCs/>
          <w:sz w:val="24"/>
          <w:szCs w:val="24"/>
          <w:highlight w:val="none"/>
          <w:lang w:val="zh-CN"/>
        </w:rPr>
        <w:t xml:space="preserve">）     </w:t>
      </w:r>
    </w:p>
    <w:p w14:paraId="698F9CF3">
      <w:pPr>
        <w:tabs>
          <w:tab w:val="left" w:pos="735"/>
        </w:tabs>
        <w:autoSpaceDE w:val="0"/>
        <w:autoSpaceDN w:val="0"/>
        <w:adjustRightInd w:val="0"/>
        <w:snapToGrid w:val="0"/>
        <w:spacing w:line="360" w:lineRule="auto"/>
        <w:ind w:firstLine="631"/>
        <w:rPr>
          <w:rFonts w:hint="eastAsia" w:ascii="宋体" w:hAnsi="宋体" w:eastAsia="宋体" w:cs="宋体"/>
          <w:bCs/>
          <w:sz w:val="24"/>
          <w:szCs w:val="24"/>
          <w:highlight w:val="none"/>
          <w:lang w:val="zh-CN"/>
        </w:rPr>
      </w:pPr>
      <w:r>
        <w:rPr>
          <w:rFonts w:hint="eastAsia" w:ascii="宋体" w:hAnsi="宋体" w:eastAsia="宋体" w:cs="宋体"/>
          <w:b/>
          <w:bCs/>
          <w:sz w:val="24"/>
          <w:szCs w:val="24"/>
          <w:highlight w:val="none"/>
          <w:lang w:val="zh-CN"/>
        </w:rPr>
        <w:t>乙方：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lang w:val="en-US" w:eastAsia="zh-CN"/>
        </w:rPr>
        <w:t>成交供应商</w:t>
      </w:r>
      <w:r>
        <w:rPr>
          <w:rFonts w:hint="eastAsia" w:ascii="宋体" w:hAnsi="宋体" w:eastAsia="宋体" w:cs="宋体"/>
          <w:bCs/>
          <w:sz w:val="24"/>
          <w:szCs w:val="24"/>
          <w:highlight w:val="none"/>
          <w:lang w:val="zh-CN"/>
        </w:rPr>
        <w:t xml:space="preserve">）    </w:t>
      </w:r>
    </w:p>
    <w:p w14:paraId="3536EBCC">
      <w:pPr>
        <w:adjustRightInd w:val="0"/>
        <w:snapToGrid w:val="0"/>
        <w:spacing w:line="360" w:lineRule="auto"/>
        <w:ind w:firstLine="480" w:firstLineChars="200"/>
        <w:rPr>
          <w:rFonts w:hint="eastAsia" w:ascii="宋体" w:hAnsi="宋体" w:eastAsia="宋体" w:cs="宋体"/>
          <w:sz w:val="24"/>
          <w:szCs w:val="24"/>
          <w:highlight w:val="none"/>
        </w:rPr>
      </w:pPr>
      <w:bookmarkStart w:id="1" w:name="_Toc19515384"/>
      <w:r>
        <w:rPr>
          <w:rFonts w:hint="eastAsia" w:ascii="宋体" w:hAnsi="宋体" w:eastAsia="宋体" w:cs="宋体"/>
          <w:sz w:val="24"/>
          <w:szCs w:val="24"/>
          <w:highlight w:val="none"/>
        </w:rPr>
        <w:t>一、合同内容（标的、范围、质量等）:</w:t>
      </w:r>
      <w:bookmarkEnd w:id="1"/>
      <w:r>
        <w:rPr>
          <w:rFonts w:hint="eastAsia" w:ascii="宋体" w:hAnsi="宋体" w:eastAsia="宋体" w:cs="宋体"/>
          <w:sz w:val="24"/>
          <w:szCs w:val="24"/>
          <w:highlight w:val="none"/>
          <w:u w:val="single"/>
          <w:lang w:val="en-US" w:eastAsia="zh-CN"/>
        </w:rPr>
        <w:t xml:space="preserve">                    </w:t>
      </w:r>
    </w:p>
    <w:p w14:paraId="6D924D27">
      <w:pPr>
        <w:adjustRightInd w:val="0"/>
        <w:snapToGrid w:val="0"/>
        <w:spacing w:line="360" w:lineRule="auto"/>
        <w:ind w:firstLine="480" w:firstLineChars="200"/>
        <w:rPr>
          <w:rFonts w:hint="eastAsia" w:ascii="宋体" w:hAnsi="宋体" w:eastAsia="宋体" w:cs="宋体"/>
          <w:sz w:val="24"/>
          <w:szCs w:val="24"/>
          <w:highlight w:val="none"/>
        </w:rPr>
      </w:pPr>
      <w:bookmarkStart w:id="2" w:name="_Toc19515385"/>
      <w:r>
        <w:rPr>
          <w:rFonts w:hint="eastAsia" w:ascii="宋体" w:hAnsi="宋体" w:eastAsia="宋体" w:cs="宋体"/>
          <w:sz w:val="24"/>
          <w:szCs w:val="24"/>
          <w:highlight w:val="none"/>
        </w:rPr>
        <w:t>二、合同价款</w:t>
      </w:r>
      <w:bookmarkEnd w:id="2"/>
    </w:p>
    <w:p w14:paraId="45592C94">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1、合同总价：</w:t>
      </w:r>
      <w:r>
        <w:rPr>
          <w:rFonts w:hint="eastAsia" w:ascii="宋体" w:hAnsi="宋体" w:eastAsia="宋体" w:cs="宋体"/>
          <w:sz w:val="24"/>
          <w:szCs w:val="24"/>
          <w:highlight w:val="none"/>
          <w:u w:val="single"/>
          <w:lang w:val="en-US" w:eastAsia="zh-CN"/>
        </w:rPr>
        <w:t xml:space="preserve">                    </w:t>
      </w:r>
    </w:p>
    <w:p w14:paraId="644E4076">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2、合同总价包括：</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123A495D">
      <w:pPr>
        <w:adjustRightInd w:val="0"/>
        <w:snapToGrid w:val="0"/>
        <w:spacing w:line="360" w:lineRule="auto"/>
        <w:ind w:firstLine="480" w:firstLineChars="200"/>
        <w:rPr>
          <w:rFonts w:hint="eastAsia" w:ascii="宋体" w:hAnsi="宋体" w:eastAsia="宋体" w:cs="宋体"/>
          <w:sz w:val="24"/>
          <w:szCs w:val="24"/>
          <w:highlight w:val="none"/>
        </w:rPr>
      </w:pPr>
      <w:bookmarkStart w:id="3" w:name="_Toc19515386"/>
      <w:r>
        <w:rPr>
          <w:rFonts w:hint="eastAsia" w:ascii="宋体" w:hAnsi="宋体" w:eastAsia="宋体" w:cs="宋体"/>
          <w:sz w:val="24"/>
          <w:szCs w:val="24"/>
          <w:highlight w:val="none"/>
        </w:rPr>
        <w:t>三、合同结算</w:t>
      </w:r>
      <w:bookmarkEnd w:id="3"/>
    </w:p>
    <w:p w14:paraId="09E6F99D">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1、付款比例：</w:t>
      </w:r>
      <w:r>
        <w:rPr>
          <w:rFonts w:hint="eastAsia" w:ascii="宋体" w:hAnsi="宋体" w:eastAsia="宋体" w:cs="宋体"/>
          <w:sz w:val="24"/>
          <w:szCs w:val="24"/>
          <w:highlight w:val="none"/>
          <w:u w:val="single"/>
          <w:lang w:val="en-US" w:eastAsia="zh-CN"/>
        </w:rPr>
        <w:t xml:space="preserve">                    </w:t>
      </w:r>
    </w:p>
    <w:p w14:paraId="3D21C5C8">
      <w:pPr>
        <w:adjustRightInd w:val="0"/>
        <w:snapToGrid w:val="0"/>
        <w:spacing w:line="360" w:lineRule="auto"/>
        <w:ind w:firstLine="480" w:firstLineChars="2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2、结算方式：</w:t>
      </w:r>
      <w:r>
        <w:rPr>
          <w:rFonts w:hint="eastAsia" w:ascii="宋体" w:hAnsi="宋体" w:eastAsia="宋体" w:cs="宋体"/>
          <w:sz w:val="24"/>
          <w:szCs w:val="24"/>
          <w:highlight w:val="none"/>
          <w:u w:val="single"/>
          <w:lang w:val="en-US" w:eastAsia="zh-CN"/>
        </w:rPr>
        <w:t xml:space="preserve">                    </w:t>
      </w:r>
    </w:p>
    <w:p w14:paraId="22126A89">
      <w:pPr>
        <w:adjustRightInd w:val="0"/>
        <w:snapToGri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3、结算单位：</w:t>
      </w:r>
      <w:r>
        <w:rPr>
          <w:rFonts w:hint="eastAsia" w:ascii="宋体" w:hAnsi="宋体" w:eastAsia="宋体" w:cs="宋体"/>
          <w:sz w:val="24"/>
          <w:szCs w:val="24"/>
          <w:highlight w:val="none"/>
          <w:u w:val="single"/>
        </w:rPr>
        <w:t>由</w:t>
      </w:r>
      <w:r>
        <w:rPr>
          <w:rFonts w:hint="eastAsia" w:ascii="宋体" w:hAnsi="宋体" w:eastAsia="宋体" w:cs="宋体"/>
          <w:sz w:val="24"/>
          <w:szCs w:val="24"/>
          <w:highlight w:val="none"/>
          <w:u w:val="single"/>
          <w:lang w:val="en-US" w:eastAsia="zh-CN"/>
        </w:rPr>
        <w:t>采购人</w:t>
      </w:r>
      <w:r>
        <w:rPr>
          <w:rFonts w:hint="eastAsia" w:ascii="宋体" w:hAnsi="宋体" w:eastAsia="宋体" w:cs="宋体"/>
          <w:sz w:val="24"/>
          <w:szCs w:val="24"/>
          <w:highlight w:val="none"/>
          <w:u w:val="single"/>
        </w:rPr>
        <w:t>负责</w:t>
      </w:r>
      <w:r>
        <w:rPr>
          <w:rFonts w:hint="eastAsia" w:ascii="宋体" w:hAnsi="宋体" w:eastAsia="宋体" w:cs="宋体"/>
          <w:sz w:val="24"/>
          <w:szCs w:val="24"/>
          <w:highlight w:val="none"/>
          <w:u w:val="single"/>
          <w:lang w:val="en-US" w:eastAsia="zh-CN"/>
        </w:rPr>
        <w:t>监督</w:t>
      </w:r>
      <w:bookmarkStart w:id="4" w:name="_Toc19515387"/>
      <w:r>
        <w:rPr>
          <w:rFonts w:hint="eastAsia" w:ascii="宋体" w:hAnsi="宋体" w:eastAsia="宋体" w:cs="宋体"/>
          <w:sz w:val="24"/>
          <w:szCs w:val="24"/>
          <w:highlight w:val="none"/>
          <w:u w:val="single"/>
          <w:lang w:val="en-US" w:eastAsia="zh-CN"/>
        </w:rPr>
        <w:t>结算</w:t>
      </w:r>
    </w:p>
    <w:p w14:paraId="33C2D865">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四、履行期限、地点及方式:</w:t>
      </w:r>
      <w:bookmarkEnd w:id="4"/>
      <w:r>
        <w:rPr>
          <w:rFonts w:hint="eastAsia" w:ascii="宋体" w:hAnsi="宋体" w:eastAsia="宋体" w:cs="宋体"/>
          <w:sz w:val="24"/>
          <w:szCs w:val="24"/>
          <w:highlight w:val="none"/>
          <w:u w:val="single"/>
          <w:lang w:val="en-US" w:eastAsia="zh-CN"/>
        </w:rPr>
        <w:t xml:space="preserve">                    </w:t>
      </w:r>
    </w:p>
    <w:p w14:paraId="145A1494">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1、履行期限：</w:t>
      </w:r>
      <w:r>
        <w:rPr>
          <w:rFonts w:hint="eastAsia" w:ascii="宋体" w:hAnsi="宋体" w:eastAsia="宋体" w:cs="宋体"/>
          <w:sz w:val="24"/>
          <w:szCs w:val="24"/>
          <w:highlight w:val="none"/>
          <w:u w:val="single"/>
          <w:lang w:val="en-US" w:eastAsia="zh-CN"/>
        </w:rPr>
        <w:t xml:space="preserve">                    </w:t>
      </w:r>
    </w:p>
    <w:p w14:paraId="54958FE0">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2、地点：</w:t>
      </w:r>
      <w:r>
        <w:rPr>
          <w:rFonts w:hint="eastAsia" w:ascii="宋体" w:hAnsi="宋体" w:eastAsia="宋体" w:cs="宋体"/>
          <w:sz w:val="24"/>
          <w:szCs w:val="24"/>
          <w:highlight w:val="none"/>
          <w:u w:val="single"/>
          <w:lang w:val="en-US" w:eastAsia="zh-CN"/>
        </w:rPr>
        <w:t xml:space="preserve">                    </w:t>
      </w:r>
    </w:p>
    <w:p w14:paraId="1E87B1C8">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3、方式：</w:t>
      </w:r>
      <w:r>
        <w:rPr>
          <w:rFonts w:hint="eastAsia" w:ascii="宋体" w:hAnsi="宋体" w:eastAsia="宋体" w:cs="宋体"/>
          <w:sz w:val="24"/>
          <w:szCs w:val="24"/>
          <w:highlight w:val="none"/>
          <w:u w:val="single"/>
          <w:lang w:val="en-US" w:eastAsia="zh-CN"/>
        </w:rPr>
        <w:t xml:space="preserve">                    </w:t>
      </w:r>
    </w:p>
    <w:p w14:paraId="210DA8A7">
      <w:pPr>
        <w:adjustRightInd w:val="0"/>
        <w:snapToGrid w:val="0"/>
        <w:spacing w:line="360" w:lineRule="auto"/>
        <w:ind w:firstLine="480" w:firstLineChars="200"/>
        <w:rPr>
          <w:rFonts w:hint="eastAsia" w:ascii="宋体" w:hAnsi="宋体" w:eastAsia="宋体" w:cs="宋体"/>
          <w:sz w:val="24"/>
          <w:szCs w:val="24"/>
          <w:highlight w:val="none"/>
        </w:rPr>
      </w:pPr>
      <w:bookmarkStart w:id="5" w:name="_Toc19515391"/>
      <w:r>
        <w:rPr>
          <w:rFonts w:hint="eastAsia" w:ascii="宋体" w:hAnsi="宋体" w:eastAsia="宋体" w:cs="宋体"/>
          <w:sz w:val="24"/>
          <w:szCs w:val="24"/>
          <w:highlight w:val="none"/>
        </w:rPr>
        <w:t>五、服务工作要求和质量保证</w:t>
      </w:r>
    </w:p>
    <w:p w14:paraId="42873F92">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各项具体工作的质量标准和作业规范，按国家相关标准、规范执行。</w:t>
      </w:r>
    </w:p>
    <w:p w14:paraId="7FA6CFA7">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六、验收</w:t>
      </w:r>
      <w:bookmarkEnd w:id="5"/>
    </w:p>
    <w:p w14:paraId="69777F34">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1、验收依据：</w:t>
      </w:r>
    </w:p>
    <w:p w14:paraId="374F1746">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1-1、合同文本、合同附件、招标文件、投标文件。</w:t>
      </w:r>
    </w:p>
    <w:p w14:paraId="49DF5F15">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1-2、国内相应的标准、规范。</w:t>
      </w:r>
    </w:p>
    <w:p w14:paraId="70E00263">
      <w:pPr>
        <w:adjustRightInd w:val="0"/>
        <w:snapToGrid w:val="0"/>
        <w:spacing w:line="360" w:lineRule="auto"/>
        <w:ind w:firstLine="480" w:firstLineChars="200"/>
        <w:rPr>
          <w:rFonts w:hint="eastAsia" w:ascii="宋体" w:hAnsi="宋体" w:eastAsia="宋体" w:cs="宋体"/>
          <w:sz w:val="24"/>
          <w:szCs w:val="24"/>
          <w:highlight w:val="none"/>
        </w:rPr>
      </w:pPr>
      <w:bookmarkStart w:id="6" w:name="_Toc19515392"/>
      <w:bookmarkStart w:id="7" w:name="_Toc19515393"/>
      <w:r>
        <w:rPr>
          <w:rFonts w:hint="eastAsia" w:ascii="宋体" w:hAnsi="宋体" w:eastAsia="宋体" w:cs="宋体"/>
          <w:sz w:val="24"/>
          <w:szCs w:val="24"/>
          <w:highlight w:val="none"/>
        </w:rPr>
        <w:t>七、违约责任</w:t>
      </w:r>
      <w:bookmarkEnd w:id="6"/>
    </w:p>
    <w:p w14:paraId="29D2E699">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1、按《中华人民共和国</w:t>
      </w:r>
      <w:r>
        <w:rPr>
          <w:rFonts w:hint="eastAsia" w:ascii="宋体" w:hAnsi="宋体" w:eastAsia="宋体" w:cs="宋体"/>
          <w:sz w:val="24"/>
          <w:szCs w:val="24"/>
          <w:highlight w:val="none"/>
          <w:lang w:val="en-US" w:eastAsia="zh-CN"/>
        </w:rPr>
        <w:t>民法典</w:t>
      </w:r>
      <w:r>
        <w:rPr>
          <w:rFonts w:hint="eastAsia" w:ascii="宋体" w:hAnsi="宋体" w:eastAsia="宋体" w:cs="宋体"/>
          <w:sz w:val="24"/>
          <w:szCs w:val="24"/>
          <w:highlight w:val="none"/>
        </w:rPr>
        <w:t>》中的相关条款执行。</w:t>
      </w:r>
    </w:p>
    <w:p w14:paraId="583E1A8A">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2、乙方履约延误</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如乙方事先未征得甲方同意并得到甲方的谅解而单方面延迟执行合同，将按违约终止合同。</w:t>
      </w:r>
    </w:p>
    <w:p w14:paraId="6008AECB">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3、违约终止合同：未按合同要求提供服务或不能满足技术要求，甲方有权终止合同，对乙方违约行为进行追究，同时按有关规定进行相应的处罚。</w:t>
      </w:r>
    </w:p>
    <w:p w14:paraId="46BE055B">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八、合同组成</w:t>
      </w:r>
      <w:bookmarkEnd w:id="7"/>
    </w:p>
    <w:p w14:paraId="58370A4A">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通知书</w:t>
      </w:r>
    </w:p>
    <w:p w14:paraId="051E55FB">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2、合同文件</w:t>
      </w:r>
    </w:p>
    <w:p w14:paraId="32B3499F">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3、国家相关规范及标准</w:t>
      </w:r>
    </w:p>
    <w:p w14:paraId="1905DAC4">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eastAsia="宋体" w:cs="宋体"/>
          <w:sz w:val="24"/>
          <w:szCs w:val="24"/>
          <w:highlight w:val="none"/>
          <w:lang w:val="en-US" w:eastAsia="zh-CN"/>
        </w:rPr>
        <w:t>竞争性磋商</w:t>
      </w:r>
      <w:r>
        <w:rPr>
          <w:rFonts w:hint="eastAsia" w:ascii="宋体" w:hAnsi="宋体" w:eastAsia="宋体" w:cs="宋体"/>
          <w:sz w:val="24"/>
          <w:szCs w:val="24"/>
          <w:highlight w:val="none"/>
        </w:rPr>
        <w:t>文件</w:t>
      </w:r>
    </w:p>
    <w:p w14:paraId="12EE4E03">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eastAsia="宋体" w:cs="宋体"/>
          <w:sz w:val="24"/>
          <w:szCs w:val="24"/>
          <w:highlight w:val="none"/>
          <w:lang w:val="en-US" w:eastAsia="zh-CN"/>
        </w:rPr>
        <w:t>竞争性磋商响应</w:t>
      </w:r>
      <w:r>
        <w:rPr>
          <w:rFonts w:hint="eastAsia" w:ascii="宋体" w:hAnsi="宋体" w:eastAsia="宋体" w:cs="宋体"/>
          <w:sz w:val="24"/>
          <w:szCs w:val="24"/>
          <w:highlight w:val="none"/>
        </w:rPr>
        <w:t>文件</w:t>
      </w:r>
    </w:p>
    <w:p w14:paraId="158977A6">
      <w:pPr>
        <w:adjustRightInd w:val="0"/>
        <w:snapToGrid w:val="0"/>
        <w:spacing w:line="360" w:lineRule="auto"/>
        <w:ind w:firstLine="480" w:firstLineChars="200"/>
        <w:rPr>
          <w:rFonts w:hint="eastAsia" w:ascii="宋体" w:hAnsi="宋体" w:eastAsia="宋体" w:cs="宋体"/>
          <w:sz w:val="24"/>
          <w:szCs w:val="24"/>
          <w:highlight w:val="none"/>
        </w:rPr>
      </w:pPr>
      <w:bookmarkStart w:id="8" w:name="_Toc19515394"/>
      <w:r>
        <w:rPr>
          <w:rFonts w:hint="eastAsia" w:ascii="宋体" w:hAnsi="宋体" w:eastAsia="宋体" w:cs="宋体"/>
          <w:sz w:val="24"/>
          <w:szCs w:val="24"/>
          <w:highlight w:val="none"/>
        </w:rPr>
        <w:t>九、解决争议的方法</w:t>
      </w:r>
      <w:bookmarkEnd w:id="8"/>
    </w:p>
    <w:p w14:paraId="4EF06D92">
      <w:pPr>
        <w:widowControl/>
        <w:autoSpaceDE w:val="0"/>
        <w:autoSpaceDN w:val="0"/>
        <w:snapToGrid w:val="0"/>
        <w:spacing w:line="360" w:lineRule="auto"/>
        <w:ind w:right="-110" w:firstLine="480" w:firstLineChars="20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凡因本合同引起的或与本合同有关的争议，双方应友好协商解决。协商不成时，双方均同意采用以下第（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 ）种争议解决方式：</w:t>
      </w:r>
    </w:p>
    <w:p w14:paraId="6AD43C1D">
      <w:pPr>
        <w:widowControl/>
        <w:autoSpaceDE w:val="0"/>
        <w:autoSpaceDN w:val="0"/>
        <w:snapToGrid w:val="0"/>
        <w:spacing w:line="360" w:lineRule="auto"/>
        <w:ind w:right="-110" w:firstLine="480" w:firstLineChars="20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（1）、甲、乙双方均同意向（甲方所在地人民法院）提起诉讼。</w:t>
      </w:r>
    </w:p>
    <w:p w14:paraId="66646809">
      <w:pPr>
        <w:widowControl/>
        <w:autoSpaceDE w:val="0"/>
        <w:autoSpaceDN w:val="0"/>
        <w:snapToGrid w:val="0"/>
        <w:spacing w:line="360" w:lineRule="auto"/>
        <w:ind w:right="-110" w:firstLine="480" w:firstLineChars="20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（2）、甲、乙双方均同意向（</w:t>
      </w:r>
      <w:r>
        <w:rPr>
          <w:rFonts w:hint="eastAsia" w:ascii="宋体" w:hAnsi="宋体" w:eastAsia="宋体" w:cs="宋体"/>
          <w:kern w:val="0"/>
          <w:sz w:val="24"/>
          <w:szCs w:val="24"/>
          <w:highlight w:val="none"/>
        </w:rPr>
        <w:fldChar w:fldCharType="begin"/>
      </w:r>
      <w:r>
        <w:rPr>
          <w:rFonts w:hint="eastAsia" w:ascii="宋体" w:hAnsi="宋体" w:eastAsia="宋体" w:cs="宋体"/>
          <w:kern w:val="0"/>
          <w:sz w:val="24"/>
          <w:szCs w:val="24"/>
          <w:highlight w:val="none"/>
        </w:rPr>
        <w:instrText xml:space="preserve"> HYPERLINK "http://www.baidu.com/s?wd=%E4%BB%B2%E8%A3%81%E5%A7%94%E5%91%98%E4%BC%9A&amp;tn=SE_PcZhidaonwhc_ngpagmjz&amp;rsv_dl=gh_pc_zhidao" \t "_blank" </w:instrText>
      </w:r>
      <w:r>
        <w:rPr>
          <w:rFonts w:hint="eastAsia" w:ascii="宋体" w:hAnsi="宋体" w:eastAsia="宋体" w:cs="宋体"/>
          <w:kern w:val="0"/>
          <w:sz w:val="24"/>
          <w:szCs w:val="24"/>
          <w:highlight w:val="none"/>
        </w:rPr>
        <w:fldChar w:fldCharType="separate"/>
      </w:r>
      <w:r>
        <w:rPr>
          <w:rFonts w:hint="eastAsia" w:ascii="宋体" w:hAnsi="宋体" w:eastAsia="宋体" w:cs="宋体"/>
          <w:kern w:val="0"/>
          <w:sz w:val="24"/>
          <w:szCs w:val="24"/>
          <w:highlight w:val="none"/>
        </w:rPr>
        <w:t>仲裁委员会</w:t>
      </w:r>
      <w:r>
        <w:rPr>
          <w:rFonts w:hint="eastAsia" w:ascii="宋体" w:hAnsi="宋体" w:eastAsia="宋体" w:cs="宋体"/>
          <w:kern w:val="0"/>
          <w:sz w:val="24"/>
          <w:szCs w:val="24"/>
          <w:highlight w:val="none"/>
        </w:rPr>
        <w:fldChar w:fldCharType="end"/>
      </w:r>
      <w:r>
        <w:rPr>
          <w:rFonts w:hint="eastAsia" w:ascii="宋体" w:hAnsi="宋体" w:eastAsia="宋体" w:cs="宋体"/>
          <w:kern w:val="0"/>
          <w:sz w:val="24"/>
          <w:szCs w:val="24"/>
          <w:highlight w:val="none"/>
        </w:rPr>
        <w:t>）提起仲裁。</w:t>
      </w:r>
    </w:p>
    <w:p w14:paraId="294CC399">
      <w:pPr>
        <w:adjustRightInd w:val="0"/>
        <w:snapToGrid w:val="0"/>
        <w:spacing w:line="360" w:lineRule="auto"/>
        <w:ind w:firstLine="480" w:firstLineChars="200"/>
        <w:rPr>
          <w:rFonts w:hint="eastAsia" w:ascii="宋体" w:hAnsi="宋体" w:eastAsia="宋体" w:cs="宋体"/>
          <w:sz w:val="24"/>
          <w:szCs w:val="24"/>
          <w:highlight w:val="none"/>
        </w:rPr>
      </w:pPr>
      <w:bookmarkStart w:id="9" w:name="_Toc19515395"/>
      <w:r>
        <w:rPr>
          <w:rFonts w:hint="eastAsia" w:ascii="宋体" w:hAnsi="宋体" w:eastAsia="宋体" w:cs="宋体"/>
          <w:sz w:val="24"/>
          <w:szCs w:val="24"/>
          <w:highlight w:val="none"/>
        </w:rPr>
        <w:t>十、合同生效及其它</w:t>
      </w:r>
      <w:bookmarkEnd w:id="9"/>
    </w:p>
    <w:p w14:paraId="0BF1E15B">
      <w:pPr>
        <w:widowControl/>
        <w:autoSpaceDE w:val="0"/>
        <w:autoSpaceDN w:val="0"/>
        <w:snapToGrid w:val="0"/>
        <w:spacing w:line="360" w:lineRule="auto"/>
        <w:ind w:right="-110" w:firstLine="480" w:firstLineChars="20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1、合同未尽事宜、由甲、乙双方协商，作为合同补充，与原合同具有同等法律效力。</w:t>
      </w:r>
    </w:p>
    <w:p w14:paraId="0AF82710">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 本合同正本一式</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份，甲方、乙方双方分别执</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备案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w:t>
      </w:r>
    </w:p>
    <w:p w14:paraId="391FE66C">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3、合同经甲乙双方盖章、签字后生效，合同签订地点为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p>
    <w:p w14:paraId="2B92DA88">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4、生效时间：   年  月  日</w:t>
      </w:r>
    </w:p>
    <w:p w14:paraId="0FD05EC7">
      <w:pPr>
        <w:widowControl/>
        <w:tabs>
          <w:tab w:val="left" w:pos="8391"/>
        </w:tabs>
        <w:autoSpaceDE w:val="0"/>
        <w:autoSpaceDN w:val="0"/>
        <w:snapToGrid w:val="0"/>
        <w:spacing w:line="360" w:lineRule="auto"/>
        <w:ind w:right="-69" w:firstLine="840" w:firstLineChars="350"/>
        <w:textAlignment w:val="bottom"/>
        <w:rPr>
          <w:rFonts w:hint="eastAsia" w:ascii="宋体" w:hAnsi="宋体" w:eastAsia="宋体" w:cs="宋体"/>
          <w:kern w:val="0"/>
          <w:sz w:val="24"/>
          <w:szCs w:val="24"/>
          <w:highlight w:val="none"/>
        </w:rPr>
      </w:pPr>
    </w:p>
    <w:tbl>
      <w:tblPr>
        <w:tblStyle w:val="7"/>
        <w:tblW w:w="0" w:type="auto"/>
        <w:jc w:val="center"/>
        <w:tblLayout w:type="fixed"/>
        <w:tblCellMar>
          <w:top w:w="0" w:type="dxa"/>
          <w:left w:w="108" w:type="dxa"/>
          <w:bottom w:w="0" w:type="dxa"/>
          <w:right w:w="108" w:type="dxa"/>
        </w:tblCellMar>
      </w:tblPr>
      <w:tblGrid>
        <w:gridCol w:w="4643"/>
        <w:gridCol w:w="4643"/>
      </w:tblGrid>
      <w:tr w14:paraId="3CCC0BA6">
        <w:tblPrEx>
          <w:tblCellMar>
            <w:top w:w="0" w:type="dxa"/>
            <w:left w:w="108" w:type="dxa"/>
            <w:bottom w:w="0" w:type="dxa"/>
            <w:right w:w="108" w:type="dxa"/>
          </w:tblCellMar>
        </w:tblPrEx>
        <w:trPr>
          <w:jc w:val="center"/>
        </w:trPr>
        <w:tc>
          <w:tcPr>
            <w:tcW w:w="4643" w:type="dxa"/>
            <w:noWrap w:val="0"/>
            <w:vAlign w:val="top"/>
          </w:tcPr>
          <w:p w14:paraId="3765AD04">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甲方名称</w:t>
            </w:r>
            <w:r>
              <w:rPr>
                <w:rFonts w:hint="eastAsia" w:ascii="宋体" w:hAnsi="宋体" w:eastAsia="宋体" w:cs="宋体"/>
                <w:spacing w:val="-20"/>
                <w:kern w:val="0"/>
                <w:sz w:val="24"/>
                <w:szCs w:val="24"/>
                <w:highlight w:val="none"/>
              </w:rPr>
              <w:t>（盖章）</w:t>
            </w:r>
            <w:r>
              <w:rPr>
                <w:rFonts w:hint="eastAsia" w:ascii="宋体" w:hAnsi="宋体" w:eastAsia="宋体" w:cs="宋体"/>
                <w:kern w:val="0"/>
                <w:sz w:val="24"/>
                <w:szCs w:val="24"/>
                <w:highlight w:val="none"/>
              </w:rPr>
              <w:t>:</w:t>
            </w:r>
          </w:p>
          <w:p w14:paraId="606B6315">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地址：</w:t>
            </w:r>
          </w:p>
          <w:p w14:paraId="00BB76C4">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代表人（签字）：</w:t>
            </w:r>
          </w:p>
          <w:p w14:paraId="4138CBC9">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电话：</w:t>
            </w:r>
          </w:p>
          <w:p w14:paraId="3478DF60">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p w14:paraId="323A3D17">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帐号：</w:t>
            </w:r>
          </w:p>
        </w:tc>
        <w:tc>
          <w:tcPr>
            <w:tcW w:w="4643" w:type="dxa"/>
            <w:noWrap w:val="0"/>
            <w:vAlign w:val="top"/>
          </w:tcPr>
          <w:p w14:paraId="64297CD4">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乙方名称</w:t>
            </w:r>
            <w:r>
              <w:rPr>
                <w:rFonts w:hint="eastAsia" w:ascii="宋体" w:hAnsi="宋体" w:eastAsia="宋体" w:cs="宋体"/>
                <w:spacing w:val="-20"/>
                <w:kern w:val="0"/>
                <w:sz w:val="24"/>
                <w:szCs w:val="24"/>
                <w:highlight w:val="none"/>
              </w:rPr>
              <w:t>（盖章）</w:t>
            </w:r>
            <w:r>
              <w:rPr>
                <w:rFonts w:hint="eastAsia" w:ascii="宋体" w:hAnsi="宋体" w:eastAsia="宋体" w:cs="宋体"/>
                <w:kern w:val="0"/>
                <w:sz w:val="24"/>
                <w:szCs w:val="24"/>
                <w:highlight w:val="none"/>
              </w:rPr>
              <w:t>:</w:t>
            </w:r>
          </w:p>
          <w:p w14:paraId="7E79C422">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地址：</w:t>
            </w:r>
          </w:p>
          <w:p w14:paraId="0271F245">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代表人（签字）：</w:t>
            </w:r>
          </w:p>
          <w:p w14:paraId="496822BB">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电话：</w:t>
            </w:r>
          </w:p>
          <w:p w14:paraId="7E78EDC5">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p w14:paraId="6B46B8DB">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帐号：   </w:t>
            </w:r>
          </w:p>
          <w:p w14:paraId="3D26E172">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p>
        </w:tc>
      </w:tr>
      <w:tr w14:paraId="691D0AC9">
        <w:tblPrEx>
          <w:tblCellMar>
            <w:top w:w="0" w:type="dxa"/>
            <w:left w:w="108" w:type="dxa"/>
            <w:bottom w:w="0" w:type="dxa"/>
            <w:right w:w="108" w:type="dxa"/>
          </w:tblCellMar>
        </w:tblPrEx>
        <w:trPr>
          <w:jc w:val="center"/>
        </w:trPr>
        <w:tc>
          <w:tcPr>
            <w:tcW w:w="4643" w:type="dxa"/>
            <w:noWrap w:val="0"/>
            <w:vAlign w:val="top"/>
          </w:tcPr>
          <w:p w14:paraId="02F728A1">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p>
        </w:tc>
        <w:tc>
          <w:tcPr>
            <w:tcW w:w="4643" w:type="dxa"/>
            <w:noWrap w:val="0"/>
            <w:vAlign w:val="top"/>
          </w:tcPr>
          <w:p w14:paraId="0969C7BB">
            <w:pPr>
              <w:widowControl/>
              <w:autoSpaceDE w:val="0"/>
              <w:autoSpaceDN w:val="0"/>
              <w:snapToGrid w:val="0"/>
              <w:spacing w:line="360" w:lineRule="auto"/>
              <w:ind w:right="-154"/>
              <w:textAlignment w:val="bottom"/>
              <w:rPr>
                <w:rFonts w:hint="eastAsia" w:ascii="宋体" w:hAnsi="宋体" w:eastAsia="宋体" w:cs="宋体"/>
                <w:kern w:val="0"/>
                <w:sz w:val="24"/>
                <w:szCs w:val="24"/>
                <w:highlight w:val="none"/>
              </w:rPr>
            </w:pPr>
          </w:p>
        </w:tc>
      </w:tr>
    </w:tbl>
    <w:p w14:paraId="1208A930">
      <w:pPr>
        <w:pStyle w:val="6"/>
        <w:numPr>
          <w:ilvl w:val="0"/>
          <w:numId w:val="0"/>
        </w:numPr>
        <w:spacing w:line="360" w:lineRule="auto"/>
        <w:rPr>
          <w:rFonts w:hint="eastAsia" w:ascii="宋体" w:hAnsi="宋体" w:eastAsia="宋体" w:cs="宋体"/>
          <w:lang w:val="zh-CN"/>
        </w:rPr>
      </w:pPr>
    </w:p>
    <w:p w14:paraId="5CE925DE">
      <w:pPr>
        <w:rPr>
          <w:rFonts w:hint="eastAsia" w:ascii="宋体" w:hAnsi="宋体" w:eastAsia="宋体" w:cs="宋体"/>
          <w:lang w:val="zh-CN"/>
        </w:rPr>
      </w:pPr>
    </w:p>
    <w:p w14:paraId="77CF891A">
      <w:pPr>
        <w:pStyle w:val="2"/>
        <w:rPr>
          <w:rFonts w:hint="eastAsia" w:ascii="宋体" w:hAnsi="宋体" w:eastAsia="宋体" w:cs="宋体"/>
          <w:lang w:val="zh-CN" w:eastAsia="zh-CN"/>
        </w:rPr>
      </w:pPr>
      <w:bookmarkStart w:id="10" w:name="_GoBack"/>
      <w:bookmarkEnd w:id="10"/>
    </w:p>
    <w:sectPr>
      <w:headerReference r:id="rId3" w:type="default"/>
      <w:footerReference r:id="rId4" w:type="default"/>
      <w:pgSz w:w="11906" w:h="16838"/>
      <w:pgMar w:top="1418" w:right="1418" w:bottom="1418" w:left="1418" w:header="851" w:footer="992" w:gutter="0"/>
      <w:pgBorders>
        <w:top w:val="none" w:sz="0" w:space="0"/>
        <w:left w:val="none" w:sz="0" w:space="0"/>
        <w:bottom w:val="none" w:sz="0" w:space="0"/>
        <w:right w:val="none" w:sz="0" w:space="0"/>
      </w:pgBorders>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5CB38">
    <w:pPr>
      <w:pStyle w:val="4"/>
      <w:tabs>
        <w:tab w:val="right" w:pos="8820"/>
        <w:tab w:val="clear" w:pos="8306"/>
      </w:tabs>
      <w:ind w:right="77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06947F">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6A06947F">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F6FA8">
    <w:pPr>
      <w:pStyle w:val="5"/>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8C2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jc w:val="left"/>
    </w:pPr>
    <w:rPr>
      <w:rFonts w:ascii="Copperplate Gothic Bold" w:hAnsi="Copperplate Gothic Bold"/>
      <w:sz w:val="28"/>
    </w:rPr>
  </w:style>
  <w:style w:type="paragraph" w:styleId="3">
    <w:name w:val="Body Text Indent"/>
    <w:basedOn w:val="1"/>
    <w:next w:val="1"/>
    <w:uiPriority w:val="0"/>
    <w:pPr>
      <w:spacing w:line="640" w:lineRule="exact"/>
      <w:ind w:firstLine="585"/>
    </w:pPr>
    <w:rPr>
      <w:rFonts w:ascii="楷体_GB2312" w:eastAsia="楷体_GB2312"/>
      <w:sz w:val="3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3"/>
    <w:next w:val="1"/>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2025-04-08T01:33:35Z</dcterms:created>
  <dc:creator>GIGABYTE</dc:creator>
  <cp:lastModifiedBy>******</cp:lastModifiedBy>
  <dcterms:modified xsi:type="dcterms:W3CDTF">2025-04-08T01:33:41Z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eyJoZGlkIjoiMGFkN2ZkYjAyZWFhMzBkYzQ5ZGY0MjkyMjEyZDAzZTQiLCJ1c2VySWQiOiIzNTY4MTIxOTcifQ==</vt:lpwstr>
  </property>
  <property fmtid="{D5CDD505-2E9C-101B-9397-08002B2CF9AE}" pid="4" name="ICV">
    <vt:lpwstr>3D3B030EFFB34F478D37EF0AD5F3F415_12</vt:lpwstr>
  </property>
</Properties>
</file>