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版本号：SRZB-2025-00120250407001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廉政灶食材采买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SRZB-2025-001</w:t>
      </w:r>
      <w:r>
        <w:br/>
      </w:r>
      <w:r>
        <w:br/>
      </w:r>
      <w:r>
        <w:br/>
      </w:r>
    </w:p>
    <w:p>
      <w:pPr>
        <w:pStyle w:val="null3"/>
        <w:jc w:val="center"/>
        <w:outlineLvl w:val="2"/>
      </w:pPr>
      <w:r>
        <w:rPr>
          <w:rFonts w:ascii="仿宋_GB2312" w:hAnsi="仿宋_GB2312" w:cs="仿宋_GB2312" w:eastAsia="仿宋_GB2312"/>
          <w:sz w:val="28"/>
          <w:b/>
        </w:rPr>
        <w:t>西安市未央区谭家街道办事处</w:t>
      </w:r>
    </w:p>
    <w:p>
      <w:pPr>
        <w:pStyle w:val="null3"/>
        <w:jc w:val="center"/>
        <w:outlineLvl w:val="2"/>
      </w:pPr>
      <w:r>
        <w:rPr>
          <w:rFonts w:ascii="仿宋_GB2312" w:hAnsi="仿宋_GB2312" w:cs="仿宋_GB2312" w:eastAsia="仿宋_GB2312"/>
          <w:sz w:val="28"/>
          <w:b/>
        </w:rPr>
        <w:t>赛荣项目管理有限公司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赛荣项目管理有限公司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西安市未央区谭家街道办事处</w:t>
      </w:r>
      <w:r>
        <w:rPr>
          <w:rFonts w:ascii="仿宋_GB2312" w:hAnsi="仿宋_GB2312" w:cs="仿宋_GB2312" w:eastAsia="仿宋_GB2312"/>
        </w:rPr>
        <w:t>委托，拟对</w:t>
      </w:r>
      <w:r>
        <w:rPr>
          <w:rFonts w:ascii="仿宋_GB2312" w:hAnsi="仿宋_GB2312" w:cs="仿宋_GB2312" w:eastAsia="仿宋_GB2312"/>
        </w:rPr>
        <w:t>廉政灶食材采买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SRZB-2025-001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廉政灶食材采买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廉政灶食材采买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采购包1（廉政灶食材采买）：属于专门面向中小企业采购。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审计报告：提供2023年度经审计的财务报告（成立时间至提交响应文件递交截止时间不足一年的可提供成立后任意时段的资产负债表），或其银行存款账户出具的资信证明（资信证明需提供投标截止时间前6个月内;</w:t>
      </w:r>
    </w:p>
    <w:p>
      <w:pPr>
        <w:pStyle w:val="null3"/>
      </w:pPr>
      <w:r>
        <w:rPr>
          <w:rFonts w:ascii="仿宋_GB2312" w:hAnsi="仿宋_GB2312" w:cs="仿宋_GB2312" w:eastAsia="仿宋_GB2312"/>
        </w:rPr>
        <w:t>3、完税证明：提交响应文件截止时间前6个月内，已缴纳的任意一个月的纳税证明或完税证明，纳税证明或完税证明上应有代收机构或税务机关的公章或业务专用章。依法免税的供应商应提供相关文件证明;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保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5、企业资质要求：供应商为生产厂家的须提供《食品生产许可证》，供应商为经销商的须提供有效的《食品经营许可证》；供应商须提供所投产品生产企业的《动物防疫条件合格证》（仅肉类);</w:t>
      </w:r>
    </w:p>
    <w:p>
      <w:pPr>
        <w:pStyle w:val="null3"/>
      </w:pPr>
      <w:r>
        <w:rPr>
          <w:rFonts w:ascii="仿宋_GB2312" w:hAnsi="仿宋_GB2312" w:cs="仿宋_GB2312" w:eastAsia="仿宋_GB2312"/>
        </w:rPr>
        <w:t>6、书面声明：提供参加政府采购活动前三年内，在经营活动中没有重大违法记录的书面声明（提供书面声明);</w:t>
      </w:r>
    </w:p>
    <w:p>
      <w:pPr>
        <w:pStyle w:val="null3"/>
      </w:pPr>
      <w:r>
        <w:rPr>
          <w:rFonts w:ascii="仿宋_GB2312" w:hAnsi="仿宋_GB2312" w:cs="仿宋_GB2312" w:eastAsia="仿宋_GB2312"/>
        </w:rPr>
        <w:t>7、承诺书：具有履行合同所必需的设备和专业技术能力的书面声明;</w:t>
      </w:r>
    </w:p>
    <w:p>
      <w:pPr>
        <w:pStyle w:val="null3"/>
      </w:pPr>
      <w:r>
        <w:rPr>
          <w:rFonts w:ascii="仿宋_GB2312" w:hAnsi="仿宋_GB2312" w:cs="仿宋_GB2312" w:eastAsia="仿宋_GB2312"/>
        </w:rPr>
        <w:t>8、授权委托书：法定代表人参加投标的，须提供法定代表人身份证明；法定代表人授权他人参加投标的，须提供法定代表人授权委托书;</w:t>
      </w:r>
    </w:p>
    <w:p>
      <w:pPr>
        <w:pStyle w:val="null3"/>
      </w:pPr>
      <w:r>
        <w:rPr>
          <w:rFonts w:ascii="仿宋_GB2312" w:hAnsi="仿宋_GB2312" w:cs="仿宋_GB2312" w:eastAsia="仿宋_GB2312"/>
        </w:rPr>
        <w:t>9、企业信用：供应商不得为“信用中国”网站（www.creditchina.gov.cn）中列入失信被执行人和税收违法黑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10、非联合体声明：本项目不接受联合体磋商（提供非联合体声明);</w:t>
      </w:r>
    </w:p>
    <w:p>
      <w:pPr>
        <w:pStyle w:val="null3"/>
      </w:pPr>
      <w:r>
        <w:rPr>
          <w:rFonts w:ascii="仿宋_GB2312" w:hAnsi="仿宋_GB2312" w:cs="仿宋_GB2312" w:eastAsia="仿宋_GB2312"/>
        </w:rPr>
        <w:t>11、中小企业声明函：供应商提供中小企业声明函;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西安市未央区谭家街道办事处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未央区渭滨街158号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029-81717334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赛荣项目管理有限公司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陕西省西安市经济技术开发区凤城二路海璟国际第2幢2单元9层20901室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029-89292503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采购包1：727,400.00元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和改革委员会办公厅颁发的《关于招标代理服务收费有关问题的通知》（发改办价格〔2003〕857号）的有关规定执行。 名称：赛荣项目管理有限公司 开户行及账号：中国建设银行股份有限公司西安海璟国际支行61050174860000000154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西安市未央区谭家街道办事处</w:t>
      </w:r>
      <w:r>
        <w:rPr>
          <w:rFonts w:ascii="仿宋_GB2312" w:hAnsi="仿宋_GB2312" w:cs="仿宋_GB2312" w:eastAsia="仿宋_GB2312"/>
        </w:rPr>
        <w:t>和</w:t>
      </w:r>
      <w:r>
        <w:rPr>
          <w:rFonts w:ascii="仿宋_GB2312" w:hAnsi="仿宋_GB2312" w:cs="仿宋_GB2312" w:eastAsia="仿宋_GB2312"/>
        </w:rPr>
        <w:t>赛荣项目管理有限公司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西安市未央区谭家街道办事处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赛荣项目管理有限公司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西安市未央区谭家街道办事处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赛荣项目管理有限公司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定型包装食品，应检验包装标识或者产品说明书是否标出品名、产地、厂名、生产日期、批号或者代号、规格、配方或者主要成份、保质期限、食用或者使用方法等，防止购进假冒伪劣产品，禁止“三无”产品进入食堂； 2.主要食材中的定型包装食品，如米面油类应提供批次产品卫生主管部门的检验报告； 3.包装污秽不洁、严重破损、运输工具不洁等造成污染的产品不得验收入库； 4.甲方对所购食品原辅料的质量、数量进行核对验收，验收合格的及时入库，不合格产品应及时退回乙方，同时做好验收记录； 5.验收时，甲方清点入库物品的数量、规格，做到数量、规格、品种准确无误； 6.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赛荣项目管理有限公司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赛荣项目管理有限公司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赛荣项目管理有限公司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联系人：刘渤</w:t>
      </w:r>
    </w:p>
    <w:p>
      <w:pPr>
        <w:pStyle w:val="null3"/>
      </w:pPr>
      <w:r>
        <w:rPr>
          <w:rFonts w:ascii="仿宋_GB2312" w:hAnsi="仿宋_GB2312" w:cs="仿宋_GB2312" w:eastAsia="仿宋_GB2312"/>
        </w:rPr>
        <w:t>联系电话：029-89292503</w:t>
      </w:r>
    </w:p>
    <w:p>
      <w:pPr>
        <w:pStyle w:val="null3"/>
      </w:pPr>
      <w:r>
        <w:rPr>
          <w:rFonts w:ascii="仿宋_GB2312" w:hAnsi="仿宋_GB2312" w:cs="仿宋_GB2312" w:eastAsia="仿宋_GB2312"/>
        </w:rPr>
        <w:t>地址：陕西省西安市经济技术开发区凤城二路海璟国际第2幢2单元9层20901室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廉政灶食材采买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727,400.00</w:t>
      </w:r>
    </w:p>
    <w:p>
      <w:pPr>
        <w:pStyle w:val="null3"/>
      </w:pPr>
      <w:r>
        <w:rPr>
          <w:rFonts w:ascii="仿宋_GB2312" w:hAnsi="仿宋_GB2312" w:cs="仿宋_GB2312" w:eastAsia="仿宋_GB2312"/>
        </w:rPr>
        <w:t>采购包最高限价（元）: 727,400.00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727400.00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727,400.00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标的名称：727400.00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一、采购内容</w:t>
            </w:r>
          </w:p>
          <w:p>
            <w:pPr>
              <w:pStyle w:val="null3"/>
              <w:spacing w:after="120"/>
              <w:ind w:firstLine="480"/>
              <w:jc w:val="both"/>
            </w:pPr>
            <w:r>
              <w:rPr>
                <w:rFonts w:ascii="仿宋_GB2312" w:hAnsi="仿宋_GB2312" w:cs="仿宋_GB2312" w:eastAsia="仿宋_GB2312"/>
                <w:sz w:val="24"/>
              </w:rPr>
              <w:t>本次招标内容主要为街道和执法队两处廉政灶食材采买项目，供应商需根据采购人要求提供其食堂所需的主副食品，主要内容包括调味品及其他类；粮油类、豆类等；蔬菜类、大肉类、水果、水产类、禽蛋类等。</w:t>
            </w:r>
          </w:p>
          <w:p>
            <w:pPr>
              <w:pStyle w:val="null3"/>
              <w:ind w:firstLine="482"/>
              <w:jc w:val="both"/>
            </w:pPr>
            <w:r>
              <w:rPr>
                <w:rFonts w:ascii="仿宋_GB2312" w:hAnsi="仿宋_GB2312" w:cs="仿宋_GB2312" w:eastAsia="仿宋_GB2312"/>
                <w:sz w:val="24"/>
                <w:b/>
              </w:rPr>
              <w:t>二、用餐数量及标准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、正常工作日街道办人数约为</w:t>
            </w:r>
            <w:r>
              <w:rPr>
                <w:rFonts w:ascii="仿宋_GB2312" w:hAnsi="仿宋_GB2312" w:cs="仿宋_GB2312" w:eastAsia="仿宋_GB2312"/>
                <w:sz w:val="24"/>
              </w:rPr>
              <w:t>170</w:t>
            </w:r>
            <w:r>
              <w:rPr>
                <w:rFonts w:ascii="仿宋_GB2312" w:hAnsi="仿宋_GB2312" w:cs="仿宋_GB2312" w:eastAsia="仿宋_GB2312"/>
                <w:sz w:val="24"/>
              </w:rPr>
              <w:t>人、</w:t>
            </w:r>
            <w:r>
              <w:rPr>
                <w:rFonts w:ascii="仿宋_GB2312" w:hAnsi="仿宋_GB2312" w:cs="仿宋_GB2312" w:eastAsia="仿宋_GB2312"/>
                <w:sz w:val="24"/>
              </w:rPr>
              <w:t>执法队及市场监督管理所人数约为75人。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、一般为工作日供货；节假日用餐人数及供货由采购人临时通知。</w:t>
            </w:r>
          </w:p>
          <w:p>
            <w:pPr>
              <w:pStyle w:val="null3"/>
              <w:ind w:firstLine="482"/>
              <w:jc w:val="both"/>
            </w:pPr>
            <w:r>
              <w:rPr>
                <w:rFonts w:ascii="仿宋_GB2312" w:hAnsi="仿宋_GB2312" w:cs="仿宋_GB2312" w:eastAsia="仿宋_GB2312"/>
                <w:sz w:val="24"/>
                <w:b/>
              </w:rPr>
              <w:t>三、包装与质量要求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、货物包装应完好无破漏，可视的内容物无腐败霉变或影响使用的变型，不存在危及人身、财产安全的不合理危险。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、食品包装标签应符合《食品安全国家标准预包装食品标签通则》（</w:t>
            </w:r>
            <w:r>
              <w:rPr>
                <w:rFonts w:ascii="仿宋_GB2312" w:hAnsi="仿宋_GB2312" w:cs="仿宋_GB2312" w:eastAsia="仿宋_GB2312"/>
                <w:sz w:val="24"/>
              </w:rPr>
              <w:t>GB 7718-2011</w:t>
            </w:r>
            <w:r>
              <w:rPr>
                <w:rFonts w:ascii="仿宋_GB2312" w:hAnsi="仿宋_GB2312" w:cs="仿宋_GB2312" w:eastAsia="仿宋_GB2312"/>
                <w:sz w:val="24"/>
              </w:rPr>
              <w:t>）要求，包括食品名称、配料表、净含量、规格、制造商（或）经销者的名称、地址和联系方式、生产日期和保质期、贮存条件、食品生产许可证编号、产品标准代号等内容。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配送的食品应当符合《中华人民共和国产品质量法》和《中华人民共和国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保证供应食材原料不存在腐烂过期变质现象，包装物的标识须与内品种一致；包装费用由供应商承担；包装不符合标准或约定，造成货物损毁灭失或其他后果的由供应商承担全部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、不得提供未经检疫或者检疫不合格的肉类品</w:t>
            </w:r>
            <w:r>
              <w:rPr>
                <w:rFonts w:ascii="仿宋_GB2312" w:hAnsi="仿宋_GB2312" w:cs="仿宋_GB2312" w:eastAsia="仿宋_GB2312"/>
                <w:sz w:val="24"/>
              </w:rPr>
              <w:t>(</w:t>
            </w:r>
            <w:r>
              <w:rPr>
                <w:rFonts w:ascii="仿宋_GB2312" w:hAnsi="仿宋_GB2312" w:cs="仿宋_GB2312" w:eastAsia="仿宋_GB2312"/>
                <w:sz w:val="24"/>
              </w:rPr>
              <w:t>含熟制品</w:t>
            </w:r>
            <w:r>
              <w:rPr>
                <w:rFonts w:ascii="仿宋_GB2312" w:hAnsi="仿宋_GB2312" w:cs="仿宋_GB2312" w:eastAsia="仿宋_GB2312"/>
                <w:sz w:val="24"/>
              </w:rPr>
              <w:t>)</w:t>
            </w:r>
            <w:r>
              <w:rPr>
                <w:rFonts w:ascii="仿宋_GB2312" w:hAnsi="仿宋_GB2312" w:cs="仿宋_GB2312" w:eastAsia="仿宋_GB2312"/>
                <w:sz w:val="24"/>
              </w:rPr>
              <w:t>、蔬菜制品，对带骨头肉制品按要求切块，须当批次《肉类卫生防疫证明》和蔬菜农药残留检测报告供采购人随时抽查，抽查发现供应商提供的物资合格证明材料与本批次物资不符时，成交供应商应及时免费更换或退货。</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、不得提供来历不明、不能提供相应产品标签的散装物品。</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当天送达食品，在检查过程中发现存在变质腐败、油脂酸败、霉变、生虫、污秽不洁、混有异物或者其他感官性状异常、含有毒有害物质或者被有毒有害物质污染，可能对人体健康有害的物品，供应商必须在当天及时更换货物，如有造成的损失由供应商承担。</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、供应商必须按采购人指定的食品</w:t>
            </w:r>
            <w:r>
              <w:rPr>
                <w:rFonts w:ascii="仿宋_GB2312" w:hAnsi="仿宋_GB2312" w:cs="仿宋_GB2312" w:eastAsia="仿宋_GB2312"/>
                <w:sz w:val="24"/>
              </w:rPr>
              <w:t>(</w:t>
            </w:r>
            <w:r>
              <w:rPr>
                <w:rFonts w:ascii="仿宋_GB2312" w:hAnsi="仿宋_GB2312" w:cs="仿宋_GB2312" w:eastAsia="仿宋_GB2312"/>
                <w:sz w:val="24"/>
              </w:rPr>
              <w:t>原料、调料</w:t>
            </w:r>
            <w:r>
              <w:rPr>
                <w:rFonts w:ascii="仿宋_GB2312" w:hAnsi="仿宋_GB2312" w:cs="仿宋_GB2312" w:eastAsia="仿宋_GB2312"/>
                <w:sz w:val="24"/>
              </w:rPr>
              <w:t>)</w:t>
            </w:r>
            <w:r>
              <w:rPr>
                <w:rFonts w:ascii="仿宋_GB2312" w:hAnsi="仿宋_GB2312" w:cs="仿宋_GB2312" w:eastAsia="仿宋_GB2312"/>
                <w:sz w:val="24"/>
              </w:rPr>
              <w:t>品名、规格数量等要求及时进行供货。供应商供货不符合要求的，供应商应当及时调换，不得影响甲方使用。</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、物资产品在送达采购人指定地点时保质期剩余时间应在三分之二以上。</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、如因供应商提供的物资，因质量等问题而使采购人人员发生食物中毒事件的，供应商将承担相应的法律责任。</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、供应商配送的食品应无毒、无害，具有完好的形、色、香、味等性状，并符合下述质量要求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）调味品及其他类供货</w:t>
            </w:r>
          </w:p>
          <w:p>
            <w:pPr>
              <w:pStyle w:val="null3"/>
              <w:ind w:firstLine="480"/>
              <w:jc w:val="both"/>
            </w:pPr>
            <w:r>
              <w:rPr>
                <w:rFonts w:ascii="仿宋_GB2312" w:hAnsi="仿宋_GB2312" w:cs="仿宋_GB2312" w:eastAsia="仿宋_GB2312"/>
                <w:sz w:val="24"/>
              </w:rPr>
              <w:t>产品无发霉、无变质、无变味、不掺杂、不掺假、不掺水、干货无受潮；</w:t>
            </w:r>
          </w:p>
          <w:p>
            <w:pPr>
              <w:pStyle w:val="null3"/>
              <w:ind w:firstLine="480"/>
              <w:jc w:val="both"/>
            </w:pPr>
            <w:r>
              <w:rPr>
                <w:rFonts w:ascii="仿宋_GB2312" w:hAnsi="仿宋_GB2312" w:cs="仿宋_GB2312" w:eastAsia="仿宋_GB2312"/>
                <w:sz w:val="24"/>
              </w:rPr>
              <w:t>产品包装应该有产品名称、厂名、厂址或出产地等，应有产品质量合格证明；</w:t>
            </w:r>
          </w:p>
          <w:p>
            <w:pPr>
              <w:pStyle w:val="null3"/>
              <w:ind w:firstLine="480"/>
              <w:jc w:val="both"/>
            </w:pPr>
            <w:r>
              <w:rPr>
                <w:rFonts w:ascii="仿宋_GB2312" w:hAnsi="仿宋_GB2312" w:cs="仿宋_GB2312" w:eastAsia="仿宋_GB2312"/>
                <w:sz w:val="24"/>
              </w:rPr>
              <w:t>产品生产厂家应持有卫生许可证；产品应符合国家食品卫生法规定的标准。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）食用油供货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食用油应外包装完好，有</w:t>
            </w:r>
            <w:r>
              <w:rPr>
                <w:rFonts w:ascii="仿宋_GB2312" w:hAnsi="仿宋_GB2312" w:cs="仿宋_GB2312" w:eastAsia="仿宋_GB2312"/>
                <w:sz w:val="24"/>
              </w:rPr>
              <w:t>SC</w:t>
            </w:r>
            <w:r>
              <w:rPr>
                <w:rFonts w:ascii="仿宋_GB2312" w:hAnsi="仿宋_GB2312" w:cs="仿宋_GB2312" w:eastAsia="仿宋_GB2312"/>
                <w:sz w:val="24"/>
              </w:rPr>
              <w:t>标志，标明品名、厂名、重量、 生产日期、保质期或保存期、执行标准，剩余保存期不少于保质期的三分之二，具有产品合格证。具有正常植物油的色泽、透明度、气味和滋味，无焦臭、酸败及其他异味。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）豆制品供货：</w:t>
            </w:r>
          </w:p>
          <w:p>
            <w:pPr>
              <w:pStyle w:val="null3"/>
              <w:ind w:firstLine="480"/>
              <w:jc w:val="both"/>
            </w:pPr>
            <w:r>
              <w:rPr>
                <w:rFonts w:ascii="仿宋_GB2312" w:hAnsi="仿宋_GB2312" w:cs="仿宋_GB2312" w:eastAsia="仿宋_GB2312"/>
                <w:sz w:val="24"/>
              </w:rPr>
              <w:t>豆腐、豆腐干、绿豆芽、黄豆芽、红豆等；须保证食材干净、不含非食品用化学物质、按统一标准加工、码放整齐、无须二次处理可以直接进行熟加工。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）蔬菜供货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供应商销售给采购人的蔬菜应当是新鲜、青嫩、干净、无腐烂、无杂质、无杂草、无黄叶、无老叶、无浸水泡水或注水，并提供农药残留检测报告。</w:t>
            </w:r>
          </w:p>
          <w:p>
            <w:pPr>
              <w:pStyle w:val="null3"/>
              <w:ind w:firstLine="480"/>
              <w:jc w:val="both"/>
            </w:pPr>
            <w:r>
              <w:rPr>
                <w:rFonts w:ascii="仿宋_GB2312" w:hAnsi="仿宋_GB2312" w:cs="仿宋_GB2312" w:eastAsia="仿宋_GB2312"/>
                <w:sz w:val="24"/>
              </w:rPr>
              <w:t>新鲜指各类蔬菜无腐烂、变质、无臭水伤味、无糟软状态，尤其是黄、绿豆芽鲜菌类应保持应有的新鲜度；</w:t>
            </w:r>
          </w:p>
          <w:p>
            <w:pPr>
              <w:pStyle w:val="null3"/>
              <w:ind w:firstLine="480"/>
              <w:jc w:val="both"/>
            </w:pPr>
            <w:r>
              <w:rPr>
                <w:rFonts w:ascii="仿宋_GB2312" w:hAnsi="仿宋_GB2312" w:cs="仿宋_GB2312" w:eastAsia="仿宋_GB2312"/>
                <w:sz w:val="24"/>
              </w:rPr>
              <w:t>青嫩是指绝大多数蔬菜</w:t>
            </w:r>
            <w:r>
              <w:rPr>
                <w:rFonts w:ascii="仿宋_GB2312" w:hAnsi="仿宋_GB2312" w:cs="仿宋_GB2312" w:eastAsia="仿宋_GB2312"/>
                <w:sz w:val="24"/>
              </w:rPr>
              <w:t>(</w:t>
            </w:r>
            <w:r>
              <w:rPr>
                <w:rFonts w:ascii="仿宋_GB2312" w:hAnsi="仿宋_GB2312" w:cs="仿宋_GB2312" w:eastAsia="仿宋_GB2312"/>
                <w:sz w:val="24"/>
              </w:rPr>
              <w:t>除冬瓜、南瓜等外</w:t>
            </w:r>
            <w:r>
              <w:rPr>
                <w:rFonts w:ascii="仿宋_GB2312" w:hAnsi="仿宋_GB2312" w:cs="仿宋_GB2312" w:eastAsia="仿宋_GB2312"/>
                <w:sz w:val="24"/>
              </w:rPr>
              <w:t>)</w:t>
            </w:r>
            <w:r>
              <w:rPr>
                <w:rFonts w:ascii="仿宋_GB2312" w:hAnsi="仿宋_GB2312" w:cs="仿宋_GB2312" w:eastAsia="仿宋_GB2312"/>
                <w:sz w:val="24"/>
              </w:rPr>
              <w:t>不但青而且嫩</w:t>
            </w:r>
            <w:r>
              <w:rPr>
                <w:rFonts w:ascii="仿宋_GB2312" w:hAnsi="仿宋_GB2312" w:cs="仿宋_GB2312" w:eastAsia="仿宋_GB2312"/>
                <w:sz w:val="24"/>
              </w:rPr>
              <w:t xml:space="preserve">; </w:t>
            </w:r>
            <w:r>
              <w:rPr>
                <w:rFonts w:ascii="仿宋_GB2312" w:hAnsi="仿宋_GB2312" w:cs="仿宋_GB2312" w:eastAsia="仿宋_GB2312"/>
                <w:sz w:val="24"/>
              </w:rPr>
              <w:t>豆角类及葫芦瓜等要保持青色，外壳不能呈白色</w:t>
            </w:r>
            <w:r>
              <w:rPr>
                <w:rFonts w:ascii="仿宋_GB2312" w:hAnsi="仿宋_GB2312" w:cs="仿宋_GB2312" w:eastAsia="仿宋_GB2312"/>
                <w:sz w:val="24"/>
              </w:rPr>
              <w:t>;</w:t>
            </w:r>
            <w:r>
              <w:rPr>
                <w:rFonts w:ascii="仿宋_GB2312" w:hAnsi="仿宋_GB2312" w:cs="仿宋_GB2312" w:eastAsia="仿宋_GB2312"/>
                <w:sz w:val="24"/>
              </w:rPr>
              <w:t>青菜类和白菜类的外叶折断时不能有丝相连不断连的现象</w:t>
            </w:r>
            <w:r>
              <w:rPr>
                <w:rFonts w:ascii="仿宋_GB2312" w:hAnsi="仿宋_GB2312" w:cs="仿宋_GB2312" w:eastAsia="仿宋_GB2312"/>
                <w:sz w:val="24"/>
              </w:rPr>
              <w:t>;</w:t>
            </w:r>
            <w:r>
              <w:rPr>
                <w:rFonts w:ascii="仿宋_GB2312" w:hAnsi="仿宋_GB2312" w:cs="仿宋_GB2312" w:eastAsia="仿宋_GB2312"/>
                <w:sz w:val="24"/>
              </w:rPr>
              <w:t>丝瓜、苦瓜等折而易断</w:t>
            </w:r>
            <w:r>
              <w:rPr>
                <w:rFonts w:ascii="仿宋_GB2312" w:hAnsi="仿宋_GB2312" w:cs="仿宋_GB2312" w:eastAsia="仿宋_GB2312"/>
                <w:sz w:val="24"/>
              </w:rPr>
              <w:t>;</w:t>
            </w:r>
            <w:r>
              <w:rPr>
                <w:rFonts w:ascii="仿宋_GB2312" w:hAnsi="仿宋_GB2312" w:cs="仿宋_GB2312" w:eastAsia="仿宋_GB2312"/>
                <w:sz w:val="24"/>
              </w:rPr>
              <w:t>鲜蒜叶子不黄，头部与杆部一般大小相同</w:t>
            </w:r>
            <w:r>
              <w:rPr>
                <w:rFonts w:ascii="仿宋_GB2312" w:hAnsi="仿宋_GB2312" w:cs="仿宋_GB2312" w:eastAsia="仿宋_GB2312"/>
                <w:sz w:val="24"/>
              </w:rPr>
              <w:t>;</w:t>
            </w:r>
            <w:r>
              <w:rPr>
                <w:rFonts w:ascii="仿宋_GB2312" w:hAnsi="仿宋_GB2312" w:cs="仿宋_GB2312" w:eastAsia="仿宋_GB2312"/>
                <w:sz w:val="24"/>
              </w:rPr>
              <w:t>干净、无杂质、无杂草泛指各类蔬菜，特别是根</w:t>
            </w:r>
            <w:r>
              <w:rPr>
                <w:rFonts w:ascii="仿宋_GB2312" w:hAnsi="仿宋_GB2312" w:cs="仿宋_GB2312" w:eastAsia="仿宋_GB2312"/>
                <w:sz w:val="24"/>
              </w:rPr>
              <w:t>(</w:t>
            </w:r>
            <w:r>
              <w:rPr>
                <w:rFonts w:ascii="仿宋_GB2312" w:hAnsi="仿宋_GB2312" w:cs="仿宋_GB2312" w:eastAsia="仿宋_GB2312"/>
                <w:sz w:val="24"/>
              </w:rPr>
              <w:t>块</w:t>
            </w:r>
            <w:r>
              <w:rPr>
                <w:rFonts w:ascii="仿宋_GB2312" w:hAnsi="仿宋_GB2312" w:cs="仿宋_GB2312" w:eastAsia="仿宋_GB2312"/>
                <w:sz w:val="24"/>
              </w:rPr>
              <w:t>)</w:t>
            </w:r>
            <w:r>
              <w:rPr>
                <w:rFonts w:ascii="仿宋_GB2312" w:hAnsi="仿宋_GB2312" w:cs="仿宋_GB2312" w:eastAsia="仿宋_GB2312"/>
                <w:sz w:val="24"/>
              </w:rPr>
              <w:t>茎类的蔬菜不能有泥巴，鲜蒜、香葱、香菜、洋葱等的根部要干净；</w:t>
            </w:r>
          </w:p>
          <w:p>
            <w:pPr>
              <w:pStyle w:val="null3"/>
              <w:ind w:firstLine="480"/>
              <w:jc w:val="both"/>
            </w:pPr>
            <w:r>
              <w:rPr>
                <w:rFonts w:ascii="仿宋_GB2312" w:hAnsi="仿宋_GB2312" w:cs="仿宋_GB2312" w:eastAsia="仿宋_GB2312"/>
                <w:sz w:val="24"/>
              </w:rPr>
              <w:t>无黄叶、老叶主要指青菜、白菜类不能有老叶，鲜蒜、香葱等的杆部应当见白；</w:t>
            </w:r>
          </w:p>
          <w:p>
            <w:pPr>
              <w:pStyle w:val="null3"/>
              <w:ind w:firstLine="480"/>
              <w:jc w:val="both"/>
            </w:pPr>
            <w:r>
              <w:rPr>
                <w:rFonts w:ascii="仿宋_GB2312" w:hAnsi="仿宋_GB2312" w:cs="仿宋_GB2312" w:eastAsia="仿宋_GB2312"/>
                <w:sz w:val="24"/>
              </w:rPr>
              <w:t>无浸水、泡水或注水主要指白菜类</w:t>
            </w:r>
            <w:r>
              <w:rPr>
                <w:rFonts w:ascii="仿宋_GB2312" w:hAnsi="仿宋_GB2312" w:cs="仿宋_GB2312" w:eastAsia="仿宋_GB2312"/>
                <w:sz w:val="24"/>
              </w:rPr>
              <w:t>(</w:t>
            </w:r>
            <w:r>
              <w:rPr>
                <w:rFonts w:ascii="仿宋_GB2312" w:hAnsi="仿宋_GB2312" w:cs="仿宋_GB2312" w:eastAsia="仿宋_GB2312"/>
                <w:sz w:val="24"/>
              </w:rPr>
              <w:t>含花菜</w:t>
            </w:r>
            <w:r>
              <w:rPr>
                <w:rFonts w:ascii="仿宋_GB2312" w:hAnsi="仿宋_GB2312" w:cs="仿宋_GB2312" w:eastAsia="仿宋_GB2312"/>
                <w:sz w:val="24"/>
              </w:rPr>
              <w:t>)</w:t>
            </w:r>
            <w:r>
              <w:rPr>
                <w:rFonts w:ascii="仿宋_GB2312" w:hAnsi="仿宋_GB2312" w:cs="仿宋_GB2312" w:eastAsia="仿宋_GB2312"/>
                <w:sz w:val="24"/>
              </w:rPr>
              <w:t>、瓜果类、鲜 菌类及根</w:t>
            </w:r>
            <w:r>
              <w:rPr>
                <w:rFonts w:ascii="仿宋_GB2312" w:hAnsi="仿宋_GB2312" w:cs="仿宋_GB2312" w:eastAsia="仿宋_GB2312"/>
                <w:sz w:val="24"/>
              </w:rPr>
              <w:t>(</w:t>
            </w:r>
            <w:r>
              <w:rPr>
                <w:rFonts w:ascii="仿宋_GB2312" w:hAnsi="仿宋_GB2312" w:cs="仿宋_GB2312" w:eastAsia="仿宋_GB2312"/>
                <w:sz w:val="24"/>
              </w:rPr>
              <w:t>块</w:t>
            </w:r>
            <w:r>
              <w:rPr>
                <w:rFonts w:ascii="仿宋_GB2312" w:hAnsi="仿宋_GB2312" w:cs="仿宋_GB2312" w:eastAsia="仿宋_GB2312"/>
                <w:sz w:val="24"/>
              </w:rPr>
              <w:t>)</w:t>
            </w:r>
            <w:r>
              <w:rPr>
                <w:rFonts w:ascii="仿宋_GB2312" w:hAnsi="仿宋_GB2312" w:cs="仿宋_GB2312" w:eastAsia="仿宋_GB2312"/>
                <w:sz w:val="24"/>
              </w:rPr>
              <w:t>茎类蔬菜不能浸水、泡水或注水；</w:t>
            </w:r>
          </w:p>
          <w:p>
            <w:pPr>
              <w:pStyle w:val="null3"/>
              <w:ind w:firstLine="480"/>
              <w:jc w:val="both"/>
            </w:pPr>
            <w:r>
              <w:rPr>
                <w:rFonts w:ascii="仿宋_GB2312" w:hAnsi="仿宋_GB2312" w:cs="仿宋_GB2312" w:eastAsia="仿宋_GB2312"/>
                <w:sz w:val="24"/>
              </w:rPr>
              <w:t>净菜率须在</w:t>
            </w:r>
            <w:r>
              <w:rPr>
                <w:rFonts w:ascii="仿宋_GB2312" w:hAnsi="仿宋_GB2312" w:cs="仿宋_GB2312" w:eastAsia="仿宋_GB2312"/>
                <w:sz w:val="24"/>
              </w:rPr>
              <w:t>95%</w:t>
            </w:r>
            <w:r>
              <w:rPr>
                <w:rFonts w:ascii="仿宋_GB2312" w:hAnsi="仿宋_GB2312" w:cs="仿宋_GB2312" w:eastAsia="仿宋_GB2312"/>
                <w:sz w:val="24"/>
              </w:rPr>
              <w:t>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）肉制品类供货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产品为在政府规定的屠宰场所屠杀的生鲜禽畜肉；</w:t>
            </w:r>
          </w:p>
          <w:p>
            <w:pPr>
              <w:pStyle w:val="null3"/>
              <w:ind w:firstLine="480"/>
              <w:jc w:val="both"/>
            </w:pPr>
            <w:r>
              <w:rPr>
                <w:rFonts w:ascii="仿宋_GB2312" w:hAnsi="仿宋_GB2312" w:cs="仿宋_GB2312" w:eastAsia="仿宋_GB2312"/>
                <w:sz w:val="24"/>
              </w:rPr>
              <w:t>产品应符合国家食品安全标准；</w:t>
            </w:r>
          </w:p>
          <w:p>
            <w:pPr>
              <w:pStyle w:val="null3"/>
              <w:ind w:firstLine="480"/>
              <w:jc w:val="both"/>
            </w:pPr>
            <w:r>
              <w:rPr>
                <w:rFonts w:ascii="仿宋_GB2312" w:hAnsi="仿宋_GB2312" w:cs="仿宋_GB2312" w:eastAsia="仿宋_GB2312"/>
                <w:sz w:val="24"/>
              </w:rPr>
              <w:t>产品非病死禽畜肉；</w:t>
            </w:r>
          </w:p>
          <w:p>
            <w:pPr>
              <w:pStyle w:val="null3"/>
              <w:ind w:firstLine="480"/>
              <w:jc w:val="both"/>
            </w:pPr>
            <w:r>
              <w:rPr>
                <w:rFonts w:ascii="仿宋_GB2312" w:hAnsi="仿宋_GB2312" w:cs="仿宋_GB2312" w:eastAsia="仿宋_GB2312"/>
                <w:sz w:val="24"/>
              </w:rPr>
              <w:t>产品非“注水”禽畜肉、母猪肉、老猪肉；</w:t>
            </w:r>
          </w:p>
          <w:p>
            <w:pPr>
              <w:pStyle w:val="null3"/>
              <w:ind w:firstLine="480"/>
              <w:jc w:val="both"/>
            </w:pPr>
            <w:r>
              <w:rPr>
                <w:rFonts w:ascii="仿宋_GB2312" w:hAnsi="仿宋_GB2312" w:cs="仿宋_GB2312" w:eastAsia="仿宋_GB2312"/>
                <w:sz w:val="24"/>
              </w:rPr>
              <w:t>产品应经检验、检疫合格，有相应的检验、检疫证明，有当地卫生主管部门出具的动物检疫合格证明、有当地政府部门定点屠宰厂“瘦肉精”残留检测合格证明和肉品品质检验合格证供采购人随时抽查，抽查发现供应商提供的证明材料与鲜肉不符时，成交供应商应及时免费更换或退货。</w:t>
            </w:r>
          </w:p>
          <w:p>
            <w:pPr>
              <w:pStyle w:val="null3"/>
              <w:ind w:firstLine="480"/>
              <w:jc w:val="both"/>
            </w:pPr>
            <w:r>
              <w:rPr>
                <w:rFonts w:ascii="仿宋_GB2312" w:hAnsi="仿宋_GB2312" w:cs="仿宋_GB2312" w:eastAsia="仿宋_GB2312"/>
                <w:sz w:val="24"/>
              </w:rPr>
              <w:t>新鲜的肉类，表面有光泽，颜色均匀，有弹性，不得呈现青紫色死斑。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）水果类供货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果形完整、质地好、新鲜，无影响消费的腐烂变质</w:t>
            </w:r>
            <w:r>
              <w:rPr>
                <w:rFonts w:ascii="仿宋_GB2312" w:hAnsi="仿宋_GB2312" w:cs="仿宋_GB2312" w:eastAsia="仿宋_GB2312"/>
                <w:sz w:val="24"/>
              </w:rPr>
              <w:t>;</w:t>
            </w:r>
            <w:r>
              <w:rPr>
                <w:rFonts w:ascii="仿宋_GB2312" w:hAnsi="仿宋_GB2312" w:cs="仿宋_GB2312" w:eastAsia="仿宋_GB2312"/>
                <w:sz w:val="24"/>
              </w:rPr>
              <w:t>清洁，基本不含可见异物，无坏死斑块，无明显的机械伤，基本无虫害，无冷害，无异常的外部水分，但冷藏取出后的冷凝水除外</w:t>
            </w:r>
            <w:r>
              <w:rPr>
                <w:rFonts w:ascii="仿宋_GB2312" w:hAnsi="仿宋_GB2312" w:cs="仿宋_GB2312" w:eastAsia="仿宋_GB2312"/>
                <w:sz w:val="24"/>
              </w:rPr>
              <w:t>;</w:t>
            </w:r>
            <w:r>
              <w:rPr>
                <w:rFonts w:ascii="仿宋_GB2312" w:hAnsi="仿宋_GB2312" w:cs="仿宋_GB2312" w:eastAsia="仿宋_GB2312"/>
                <w:sz w:val="24"/>
              </w:rPr>
              <w:t>无异常气味和味道，发育充分，达到适当的成熟度；带柄时，其长度不能超过</w:t>
            </w:r>
            <w:r>
              <w:rPr>
                <w:rFonts w:ascii="仿宋_GB2312" w:hAnsi="仿宋_GB2312" w:cs="仿宋_GB2312" w:eastAsia="仿宋_GB2312"/>
                <w:sz w:val="24"/>
              </w:rPr>
              <w:t>1 cm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）水产类供货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鱼类：游水生猛，对外界刺激敏感，无翻肚；无嘴烂及其它外表损伤。鱼鳞完整有光泽，不易脱落，眼隔膜有光泽、透明，眼球突出；腹部坚实不膨胀，肛门内部洁净无异常红尾。大小均匀。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）禽蛋类供货</w:t>
            </w:r>
            <w:r>
              <w:rPr>
                <w:rFonts w:ascii="仿宋_GB2312" w:hAnsi="仿宋_GB2312" w:cs="仿宋_GB2312" w:eastAsia="仿宋_GB2312"/>
                <w:sz w:val="24"/>
              </w:rPr>
              <w:t>:</w:t>
            </w:r>
          </w:p>
          <w:p>
            <w:pPr>
              <w:pStyle w:val="null3"/>
              <w:spacing w:after="120"/>
              <w:ind w:firstLine="480"/>
              <w:jc w:val="both"/>
            </w:pPr>
            <w:r>
              <w:rPr>
                <w:rFonts w:ascii="仿宋_GB2312" w:hAnsi="仿宋_GB2312" w:cs="仿宋_GB2312" w:eastAsia="仿宋_GB2312"/>
                <w:sz w:val="24"/>
              </w:rPr>
              <w:t>应有禽蛋固有的色泽，鸡蛋为白色至浅红褐色之间，蛋壳清洁无破裂，打开后蛋壳凸起、完整、有韧性，蛋白澄清透明，层次分明，同一批次大小差异不明显。</w:t>
            </w:r>
          </w:p>
          <w:p>
            <w:pPr>
              <w:pStyle w:val="null3"/>
              <w:jc w:val="both"/>
            </w:pPr>
            <w:r>
              <w:rPr>
                <w:rFonts w:ascii="仿宋_GB2312" w:hAnsi="仿宋_GB2312" w:cs="仿宋_GB2312" w:eastAsia="仿宋_GB2312"/>
                <w:sz w:val="24"/>
                <w:b/>
              </w:rPr>
              <w:t>四、运输要求：</w:t>
            </w:r>
          </w:p>
          <w:p>
            <w:pPr>
              <w:pStyle w:val="null3"/>
              <w:ind w:firstLine="480"/>
              <w:jc w:val="both"/>
            </w:pPr>
            <w:r>
              <w:rPr>
                <w:rFonts w:ascii="仿宋_GB2312" w:hAnsi="仿宋_GB2312" w:cs="仿宋_GB2312" w:eastAsia="仿宋_GB2312"/>
                <w:sz w:val="24"/>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pPr>
              <w:pStyle w:val="null3"/>
              <w:spacing w:before="150" w:after="150"/>
              <w:jc w:val="both"/>
            </w:pPr>
            <w:r>
              <w:rPr>
                <w:rFonts w:ascii="仿宋_GB2312" w:hAnsi="仿宋_GB2312" w:cs="仿宋_GB2312" w:eastAsia="仿宋_GB2312"/>
                <w:sz w:val="24"/>
                <w:b/>
              </w:rPr>
              <w:t>五、货物要求</w:t>
            </w:r>
          </w:p>
          <w:p>
            <w:pPr>
              <w:pStyle w:val="null3"/>
              <w:spacing w:after="120"/>
              <w:jc w:val="both"/>
            </w:pPr>
            <w:r>
              <w:rPr>
                <w:rFonts w:ascii="仿宋_GB2312" w:hAnsi="仿宋_GB2312" w:cs="仿宋_GB2312" w:eastAsia="仿宋_GB2312"/>
                <w:sz w:val="24"/>
                <w:b/>
              </w:rPr>
              <w:t>1</w:t>
            </w:r>
            <w:r>
              <w:rPr>
                <w:rFonts w:ascii="仿宋_GB2312" w:hAnsi="仿宋_GB2312" w:cs="仿宋_GB2312" w:eastAsia="仿宋_GB2312"/>
                <w:sz w:val="24"/>
                <w:b/>
              </w:rPr>
              <w:t>、供货范围、供货期、交货地点及质量标准</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）供货期：</w:t>
            </w:r>
            <w:r>
              <w:rPr>
                <w:rFonts w:ascii="仿宋_GB2312" w:hAnsi="仿宋_GB2312" w:cs="仿宋_GB2312" w:eastAsia="仿宋_GB2312"/>
                <w:sz w:val="24"/>
                <w:u w:val="single"/>
              </w:rPr>
              <w:t>自合同签订生效之日起</w:t>
            </w:r>
            <w:r>
              <w:rPr>
                <w:rFonts w:ascii="仿宋_GB2312" w:hAnsi="仿宋_GB2312" w:cs="仿宋_GB2312" w:eastAsia="仿宋_GB2312"/>
                <w:sz w:val="24"/>
                <w:u w:val="single"/>
              </w:rPr>
              <w:t>1</w:t>
            </w:r>
            <w:r>
              <w:rPr>
                <w:rFonts w:ascii="仿宋_GB2312" w:hAnsi="仿宋_GB2312" w:cs="仿宋_GB2312" w:eastAsia="仿宋_GB2312"/>
                <w:sz w:val="24"/>
                <w:u w:val="single"/>
              </w:rPr>
              <w:t>年（具体服务起止日期可随合同签订时间相应顺延）</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）配送服务响应时间：</w:t>
            </w:r>
            <w:r>
              <w:rPr>
                <w:rFonts w:ascii="仿宋_GB2312" w:hAnsi="仿宋_GB2312" w:cs="仿宋_GB2312" w:eastAsia="仿宋_GB2312"/>
                <w:sz w:val="24"/>
                <w:u w:val="single"/>
              </w:rPr>
              <w:t>应采购人要求</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）供货地点：</w:t>
            </w:r>
            <w:r>
              <w:rPr>
                <w:rFonts w:ascii="仿宋_GB2312" w:hAnsi="仿宋_GB2312" w:cs="仿宋_GB2312" w:eastAsia="仿宋_GB2312"/>
                <w:sz w:val="24"/>
                <w:u w:val="single"/>
              </w:rPr>
              <w:t xml:space="preserve"> 采购人指定地点</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）质量标准：</w:t>
            </w:r>
            <w:r>
              <w:rPr>
                <w:rFonts w:ascii="仿宋_GB2312" w:hAnsi="仿宋_GB2312" w:cs="仿宋_GB2312" w:eastAsia="仿宋_GB2312"/>
                <w:sz w:val="24"/>
                <w:u w:val="single"/>
              </w:rPr>
              <w:t xml:space="preserve"> 合格</w:t>
            </w:r>
          </w:p>
          <w:p>
            <w:pPr>
              <w:pStyle w:val="null3"/>
              <w:spacing w:after="120"/>
              <w:jc w:val="both"/>
            </w:pPr>
            <w:r>
              <w:rPr>
                <w:rFonts w:ascii="仿宋_GB2312" w:hAnsi="仿宋_GB2312" w:cs="仿宋_GB2312" w:eastAsia="仿宋_GB2312"/>
                <w:sz w:val="24"/>
                <w:b/>
              </w:rPr>
              <w:t>2</w:t>
            </w:r>
            <w:r>
              <w:rPr>
                <w:rFonts w:ascii="仿宋_GB2312" w:hAnsi="仿宋_GB2312" w:cs="仿宋_GB2312" w:eastAsia="仿宋_GB2312"/>
                <w:sz w:val="24"/>
                <w:b/>
              </w:rPr>
              <w:t>、货物技术规格、参数与要求</w:t>
            </w:r>
          </w:p>
          <w:p>
            <w:pPr>
              <w:pStyle w:val="null3"/>
              <w:spacing w:after="120"/>
              <w:ind w:firstLine="480"/>
              <w:jc w:val="both"/>
            </w:pPr>
            <w:r>
              <w:rPr>
                <w:rFonts w:ascii="仿宋_GB2312" w:hAnsi="仿宋_GB2312" w:cs="仿宋_GB2312" w:eastAsia="仿宋_GB2312"/>
                <w:sz w:val="24"/>
              </w:rPr>
              <w:t>凡涉及到食品安全标准、国家标准、产品生产国标准、行业标准、企业标准的按最高标准执行。</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、配送要求：</w:t>
            </w:r>
            <w:r>
              <w:rPr>
                <w:rFonts w:ascii="仿宋_GB2312" w:hAnsi="仿宋_GB2312" w:cs="仿宋_GB2312" w:eastAsia="仿宋_GB2312"/>
                <w:sz w:val="24"/>
              </w:rPr>
              <w:t>配送时须提供的证明材料</w:t>
            </w:r>
          </w:p>
          <w:p>
            <w:pPr>
              <w:pStyle w:val="null3"/>
              <w:ind w:firstLine="480"/>
              <w:jc w:val="both"/>
            </w:pPr>
            <w:r>
              <w:rPr>
                <w:rFonts w:ascii="仿宋_GB2312" w:hAnsi="仿宋_GB2312" w:cs="仿宋_GB2312" w:eastAsia="仿宋_GB2312"/>
                <w:sz w:val="24"/>
              </w:rPr>
              <w:t>成交供应商的资格、资质证明（首次供应时提供）：供应商为生产厂家的须提供《食品生产许可证》，供应商为经销商的须提供有效的《食品经营许可证》；供应商须提供所投产品生产企业的《动物防疫条件合格证》（仅肉类）</w:t>
            </w:r>
            <w:r>
              <w:rPr>
                <w:rFonts w:ascii="仿宋_GB2312" w:hAnsi="仿宋_GB2312" w:cs="仿宋_GB2312" w:eastAsia="仿宋_GB2312"/>
                <w:sz w:val="24"/>
                <w:color w:val="333333"/>
              </w:rPr>
              <w:t>。</w:t>
            </w:r>
          </w:p>
          <w:p>
            <w:pPr>
              <w:pStyle w:val="null3"/>
              <w:spacing w:after="120"/>
              <w:jc w:val="both"/>
            </w:pPr>
            <w:r>
              <w:rPr>
                <w:rFonts w:ascii="仿宋_GB2312" w:hAnsi="仿宋_GB2312" w:cs="仿宋_GB2312" w:eastAsia="仿宋_GB2312"/>
                <w:sz w:val="24"/>
                <w:b/>
              </w:rPr>
              <w:t>4</w:t>
            </w:r>
            <w:r>
              <w:rPr>
                <w:rFonts w:ascii="仿宋_GB2312" w:hAnsi="仿宋_GB2312" w:cs="仿宋_GB2312" w:eastAsia="仿宋_GB2312"/>
                <w:sz w:val="24"/>
                <w:b/>
              </w:rPr>
              <w:t>、验收标准和方法</w:t>
            </w:r>
          </w:p>
          <w:p>
            <w:pPr>
              <w:pStyle w:val="null3"/>
              <w:spacing w:after="120"/>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spacing w:after="120"/>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）主要食材中的定型包装食品，如米面油类应提供批次产品卫生主管部门的检验报告；</w:t>
            </w:r>
          </w:p>
          <w:p>
            <w:pPr>
              <w:pStyle w:val="null3"/>
              <w:spacing w:after="120"/>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）包装污秽不洁、严重破损、运输工具不洁等造成污染的产品不得验收入库；</w:t>
            </w:r>
          </w:p>
          <w:p>
            <w:pPr>
              <w:pStyle w:val="null3"/>
              <w:spacing w:after="120"/>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）甲方对所购食品原辅料的质量、数量进行核对验收，验收合格的及时入库，不合格产品应及时退回乙方，同时做好验收记录；</w:t>
            </w:r>
          </w:p>
          <w:p>
            <w:pPr>
              <w:pStyle w:val="null3"/>
              <w:spacing w:after="120"/>
              <w:ind w:firstLine="2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）验收时，甲方清点入库物品的数量、规格，做到数量、规格、品种准确无误；</w:t>
            </w:r>
          </w:p>
          <w:p>
            <w:pPr>
              <w:pStyle w:val="null3"/>
              <w:spacing w:after="120"/>
              <w:ind w:firstLine="24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spacing w:after="120"/>
              <w:jc w:val="both"/>
            </w:pPr>
            <w:r>
              <w:rPr>
                <w:rFonts w:ascii="仿宋_GB2312" w:hAnsi="仿宋_GB2312" w:cs="仿宋_GB2312" w:eastAsia="仿宋_GB2312"/>
                <w:sz w:val="24"/>
                <w:b/>
              </w:rPr>
              <w:t>5</w:t>
            </w:r>
            <w:r>
              <w:rPr>
                <w:rFonts w:ascii="仿宋_GB2312" w:hAnsi="仿宋_GB2312" w:cs="仿宋_GB2312" w:eastAsia="仿宋_GB2312"/>
                <w:sz w:val="24"/>
                <w:b/>
              </w:rPr>
              <w:t>、其他需要说明的事项</w:t>
            </w:r>
          </w:p>
          <w:p>
            <w:pPr>
              <w:pStyle w:val="null3"/>
              <w:spacing w:after="120"/>
              <w:jc w:val="both"/>
            </w:pPr>
            <w:r>
              <w:rPr>
                <w:rFonts w:ascii="仿宋_GB2312" w:hAnsi="仿宋_GB2312" w:cs="仿宋_GB2312" w:eastAsia="仿宋_GB2312"/>
                <w:sz w:val="24"/>
              </w:rPr>
              <w:t xml:space="preserve">   1</w:t>
            </w:r>
            <w:r>
              <w:rPr>
                <w:rFonts w:ascii="仿宋_GB2312" w:hAnsi="仿宋_GB2312" w:cs="仿宋_GB2312" w:eastAsia="仿宋_GB2312"/>
                <w:sz w:val="24"/>
              </w:rPr>
              <w:t>、成交供应商必须保证所供货物进货渠道正规，质量符合国家质量标准和食品卫生安全要求。</w:t>
            </w:r>
          </w:p>
          <w:p>
            <w:pPr>
              <w:pStyle w:val="null3"/>
              <w:spacing w:after="120"/>
              <w:ind w:firstLine="480"/>
              <w:jc w:val="both"/>
            </w:pPr>
            <w:r>
              <w:rPr>
                <w:rFonts w:ascii="仿宋_GB2312" w:hAnsi="仿宋_GB2312" w:cs="仿宋_GB2312" w:eastAsia="仿宋_GB2312"/>
                <w:sz w:val="24"/>
              </w:rPr>
              <w:t>2</w:t>
            </w:r>
            <w:r>
              <w:rPr>
                <w:rFonts w:ascii="仿宋_GB2312" w:hAnsi="仿宋_GB2312" w:cs="仿宋_GB2312" w:eastAsia="仿宋_GB2312"/>
                <w:sz w:val="24"/>
              </w:rPr>
              <w:t>、如因特殊原因导致交货方式发生变化，由采购人和成交供应商双方协商解决。</w:t>
            </w:r>
          </w:p>
          <w:p>
            <w:pPr>
              <w:pStyle w:val="null3"/>
              <w:spacing w:after="120"/>
              <w:ind w:firstLine="480"/>
              <w:jc w:val="both"/>
            </w:pPr>
            <w:r>
              <w:rPr>
                <w:rFonts w:ascii="仿宋_GB2312" w:hAnsi="仿宋_GB2312" w:cs="仿宋_GB2312" w:eastAsia="仿宋_GB2312"/>
                <w:sz w:val="24"/>
              </w:rPr>
              <w:t>3</w:t>
            </w:r>
            <w:r>
              <w:rPr>
                <w:rFonts w:ascii="仿宋_GB2312" w:hAnsi="仿宋_GB2312" w:cs="仿宋_GB2312" w:eastAsia="仿宋_GB2312"/>
                <w:sz w:val="24"/>
              </w:rPr>
              <w:t>、如特殊原因等影响合同结算和付款时间，由采购人和成交供应商双方协商解决。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第五个月根据供货单按实结算，成交供应商在接受采v购人的每一笔付款前，应向采购人开具相应金额的发票v</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第九个月根据供货单按实结算，成交供应商在接受采购人的每一笔付款前，应向采购人开具相应金额的发票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第十一个月根据供货单按实结算，成交供应商在接受采购人的每一笔付款前，应向采购人开具相应金额的发票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第十二个月根据供货单按实结算，成交供应商在接受采购人的每一笔付款前，应向采购人开具相应金额的发票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服务方案 磋商报价明细表.docx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供应商为生产厂家的须提供《食品生产许可证》，供应商为经销商的须提供有效的《食品经营许可证》；供应商须提供所投产品生产企业的《动物防疫条件合格证》（仅肉类);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磋商报价明细表.docx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服务方案 磋商报价明细表.docx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磋商报价明细表.docx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报价不超过最高限价。</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服务方案 磋商报价明细表.docx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服务方案 磋商报价明细表.docx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服务方案 磋商报价明细表.docx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服务方案 磋商报价明细表.docx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服务内容及服务邀请应答表 中小企业声明函 商务应答表 其它资料.docx 报价表 响应文件封面 供应商应提交的相关资格证明材料.docx 残疾人福利性单位声明函 服务方案 磋商报价明细表.docx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食材采购方案</w:t>
            </w:r>
          </w:p>
        </w:tc>
        <w:tc>
          <w:tcPr>
            <w:tcW w:type="dxa" w:w="2492"/>
          </w:tcPr>
          <w:p>
            <w:pPr>
              <w:pStyle w:val="null3"/>
            </w:pPr>
            <w:r>
              <w:rPr>
                <w:rFonts w:ascii="仿宋_GB2312" w:hAnsi="仿宋_GB2312" w:cs="仿宋_GB2312" w:eastAsia="仿宋_GB2312"/>
              </w:rPr>
              <w:t>供应商针对本项目的理解，提供以下方案①服务流程②进货渠道③存储方案④食品配送方案⑤配送设备⑥食材验收方案； 评审标准:方案各部分内容全面详细、阐述条例清晰详尽、符合本项目采购需求，能保障本项目实施得18分；以上每项评审内容有缺陷未完全响应评审标准的扣0-3分，未提供不计分。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针对本项目提供管理机构及制度，包括但不限于①各岗位管理制度②自查制度③奖惩考核机制④安全防范⑤卫生保障⑥文明服务⑦消杀管理等制度进行综合评审； 评审标准:方案各部分内容全面详细、阐述条例清晰详尽、符合本项目采购需求，能保障本项目实施得14分；以上每项评审内容有缺陷未完全响应评审标准的扣0-2分，未提供不计分。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供应商针对本项目特点、组织计划、项目组成人员进行综合赋分，组织计划合理、结构清晰，项目组成人员职责任务明确、人员数量和人员专业结构配备合理，完全满足本项目服务要求的得6-8分； 供应商针对本项目组织计划较合理，项目组成人员职责分工安排较清晰合理、人员数量和专业结构配备较合理，基本满足本项目要求的得3-6分；供应商针对本项目组织计划差，合理性差，项目组成人员职责分工安排差、人员数量和专业结构配备差，难以满足本项目要求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针对本项目的质量保证方案，包括但不限于：①食品质量②食品安全与卫生③安全执行标准④检验检查⑤日常检查的措施⑥食品品质新鲜等； 评审标准:方案各部分内容全面详细、阐述条理清晰详尽、符合本项目采购需求得6分；以上每项评审内容有缺陷未完全响应评审标准的扣0-1分，未提供不计分。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对项目①实施过程突发的紧急状况有合理化建议②处理方式及措施③处理人员配备合理④天气、车辆故障等突发事件⑤配送或使用过程出现问题的应急预案及补救措施； 评审标准：方案各部分内容全面详细、阐述条理清晰详尽、符合本项目采购需求得10分；以上每项评审内容有缺陷未完全响应评审标准的扣0-2分，未提供不计分。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针对本项目的时效保障措施，包括但不限于：①总体进度安排②采买时间计划③运输路线规划④响应的及时性等； 评审标准:方案各部分内容全面详细、阐述条理清晰详尽、符合本项目采购需求得4分；以上每项评审内容有缺陷未完全响应评审标准的扣0-1分，未提供不计分。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方案内容包含但不限于：①售后服务机构地址及负责人的联系方式②售后服务人员安排③售后服务保障措施④供货不及时、出现残次品等补货换货解决方案⑤产品交付采购方后出现质量问题的响应时间； 评审标准:方案各部分内容全面详细、阐述条理清晰详尽符合本项目采购需求得10分;以上每项评审内容有缺陷未完全响应评审标准的扣0-2分，未提供不计分。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2021年1月至今（以合同签订时间为准），每提供一份同类业绩得2分，满分10分（业绩证明以合同的复印件或中标通知书复印件加盖公章为准）。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