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115AD">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cs="宋体"/>
          <w:b/>
          <w:bCs/>
          <w:color w:val="auto"/>
          <w:sz w:val="32"/>
          <w:szCs w:val="32"/>
          <w:highlight w:val="none"/>
          <w:lang w:val="zh-CN"/>
        </w:rPr>
        <w:t>（</w:t>
      </w:r>
      <w:r>
        <w:rPr>
          <w:rFonts w:hint="eastAsia" w:ascii="宋体" w:hAnsi="宋体" w:cs="宋体"/>
          <w:b/>
          <w:bCs/>
          <w:color w:val="auto"/>
          <w:sz w:val="32"/>
          <w:szCs w:val="32"/>
          <w:highlight w:val="none"/>
          <w:lang w:val="en-US" w:eastAsia="zh-CN"/>
        </w:rPr>
        <w:t>一包</w:t>
      </w:r>
      <w:r>
        <w:rPr>
          <w:rFonts w:hint="eastAsia" w:ascii="宋体" w:hAnsi="宋体" w:cs="宋体"/>
          <w:b/>
          <w:bCs/>
          <w:color w:val="auto"/>
          <w:sz w:val="32"/>
          <w:szCs w:val="32"/>
          <w:highlight w:val="none"/>
          <w:lang w:val="zh-CN"/>
        </w:rPr>
        <w:t>）</w:t>
      </w:r>
      <w:r>
        <w:rPr>
          <w:rFonts w:hint="eastAsia" w:ascii="宋体" w:hAnsi="宋体" w:eastAsia="宋体" w:cs="宋体"/>
          <w:b/>
          <w:bCs/>
          <w:color w:val="auto"/>
          <w:sz w:val="32"/>
          <w:szCs w:val="32"/>
          <w:highlight w:val="none"/>
          <w:lang w:val="zh-CN"/>
        </w:rPr>
        <w:t>合同格式</w:t>
      </w:r>
    </w:p>
    <w:p w14:paraId="54AB9C1A">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3AD3C16F">
      <w:pPr>
        <w:spacing w:before="120" w:line="360" w:lineRule="auto"/>
        <w:jc w:val="center"/>
        <w:rPr>
          <w:rFonts w:hint="eastAsia" w:ascii="宋体" w:hAnsi="宋体" w:eastAsia="宋体" w:cs="宋体"/>
          <w:b/>
          <w:bCs/>
          <w:color w:val="auto"/>
          <w:sz w:val="36"/>
          <w:szCs w:val="36"/>
        </w:rPr>
      </w:pPr>
    </w:p>
    <w:p w14:paraId="30720E88">
      <w:pPr>
        <w:spacing w:before="120" w:line="360" w:lineRule="auto"/>
        <w:jc w:val="center"/>
        <w:rPr>
          <w:rFonts w:hint="eastAsia" w:ascii="宋体" w:hAnsi="宋体" w:eastAsia="宋体" w:cs="宋体"/>
          <w:b/>
          <w:bCs/>
          <w:color w:val="auto"/>
          <w:sz w:val="36"/>
          <w:szCs w:val="36"/>
        </w:rPr>
      </w:pPr>
    </w:p>
    <w:p w14:paraId="2E1DC663">
      <w:pPr>
        <w:spacing w:before="120" w:line="360" w:lineRule="auto"/>
        <w:jc w:val="center"/>
        <w:rPr>
          <w:rFonts w:hint="eastAsia" w:ascii="宋体" w:hAnsi="宋体" w:eastAsia="宋体" w:cs="宋体"/>
          <w:b/>
          <w:bCs/>
          <w:color w:val="auto"/>
          <w:sz w:val="36"/>
          <w:szCs w:val="36"/>
        </w:rPr>
      </w:pPr>
    </w:p>
    <w:p w14:paraId="07A9BC3B">
      <w:pPr>
        <w:spacing w:before="120" w:line="360" w:lineRule="auto"/>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政 府 采 购 合 同</w:t>
      </w:r>
    </w:p>
    <w:p w14:paraId="7E94F7DF">
      <w:pPr>
        <w:spacing w:before="120" w:line="360" w:lineRule="auto"/>
        <w:jc w:val="center"/>
        <w:rPr>
          <w:rFonts w:hint="eastAsia" w:ascii="宋体" w:hAnsi="宋体" w:eastAsia="宋体" w:cs="宋体"/>
          <w:color w:val="auto"/>
          <w:sz w:val="28"/>
          <w:szCs w:val="28"/>
        </w:rPr>
      </w:pPr>
    </w:p>
    <w:p w14:paraId="6CDA4DB3">
      <w:pPr>
        <w:spacing w:before="120" w:line="360" w:lineRule="auto"/>
        <w:ind w:firstLine="3064" w:firstLineChars="1090"/>
        <w:rPr>
          <w:rFonts w:hint="eastAsia" w:ascii="宋体" w:hAnsi="宋体" w:eastAsia="宋体" w:cs="宋体"/>
          <w:color w:val="auto"/>
          <w:sz w:val="28"/>
          <w:szCs w:val="28"/>
        </w:rPr>
      </w:pPr>
      <w:bookmarkStart w:id="0" w:name="_Toc109543216"/>
      <w:bookmarkStart w:id="1" w:name="_Toc109542396"/>
      <w:r>
        <w:rPr>
          <w:rFonts w:hint="eastAsia" w:ascii="宋体" w:hAnsi="宋体" w:eastAsia="宋体" w:cs="宋体"/>
          <w:b/>
          <w:bCs/>
          <w:color w:val="auto"/>
          <w:sz w:val="28"/>
          <w:szCs w:val="28"/>
        </w:rPr>
        <w:t>合同编号：</w:t>
      </w:r>
      <w:bookmarkEnd w:id="0"/>
      <w:bookmarkEnd w:id="1"/>
      <w:r>
        <w:rPr>
          <w:rFonts w:hint="eastAsia" w:ascii="宋体" w:hAnsi="宋体" w:eastAsia="宋体" w:cs="宋体"/>
          <w:b/>
          <w:bCs/>
          <w:color w:val="auto"/>
          <w:sz w:val="28"/>
          <w:szCs w:val="28"/>
          <w:u w:val="single"/>
        </w:rPr>
        <w:t xml:space="preserve">            </w:t>
      </w:r>
      <w:r>
        <w:rPr>
          <w:rFonts w:hint="eastAsia" w:ascii="宋体" w:hAnsi="宋体" w:eastAsia="宋体" w:cs="宋体"/>
          <w:color w:val="auto"/>
          <w:sz w:val="28"/>
          <w:szCs w:val="28"/>
        </w:rPr>
        <w:t xml:space="preserve">        </w:t>
      </w:r>
    </w:p>
    <w:p w14:paraId="7B27F07A">
      <w:pPr>
        <w:pStyle w:val="3"/>
        <w:spacing w:before="120" w:line="360" w:lineRule="auto"/>
        <w:ind w:firstLine="0"/>
        <w:rPr>
          <w:rFonts w:hint="eastAsia" w:ascii="宋体" w:hAnsi="宋体" w:eastAsia="宋体" w:cs="宋体"/>
          <w:color w:val="auto"/>
          <w:sz w:val="28"/>
          <w:szCs w:val="28"/>
        </w:rPr>
      </w:pPr>
    </w:p>
    <w:p w14:paraId="3552ADD1">
      <w:pPr>
        <w:spacing w:before="120" w:line="360" w:lineRule="auto"/>
        <w:rPr>
          <w:rFonts w:hint="eastAsia" w:ascii="宋体" w:hAnsi="宋体" w:eastAsia="宋体" w:cs="宋体"/>
          <w:b/>
          <w:bCs/>
          <w:color w:val="auto"/>
          <w:sz w:val="28"/>
          <w:szCs w:val="28"/>
        </w:rPr>
      </w:pPr>
    </w:p>
    <w:p w14:paraId="3D07E3D8">
      <w:pPr>
        <w:pStyle w:val="4"/>
        <w:rPr>
          <w:rFonts w:hint="eastAsia" w:ascii="宋体" w:hAnsi="宋体" w:eastAsia="宋体" w:cs="宋体"/>
          <w:b/>
          <w:bCs/>
          <w:color w:val="auto"/>
          <w:sz w:val="28"/>
          <w:szCs w:val="28"/>
        </w:rPr>
      </w:pPr>
    </w:p>
    <w:p w14:paraId="6F0DEE94">
      <w:pPr>
        <w:rPr>
          <w:rFonts w:hint="eastAsia" w:ascii="宋体" w:hAnsi="宋体" w:eastAsia="宋体" w:cs="宋体"/>
          <w:b/>
          <w:bCs/>
          <w:color w:val="auto"/>
          <w:sz w:val="28"/>
          <w:szCs w:val="28"/>
        </w:rPr>
      </w:pPr>
    </w:p>
    <w:p w14:paraId="03BE2FB2">
      <w:pPr>
        <w:pStyle w:val="4"/>
        <w:rPr>
          <w:rFonts w:hint="eastAsia" w:eastAsia="宋体" w:cs="Times New Roman"/>
          <w:color w:val="auto"/>
        </w:rPr>
      </w:pPr>
    </w:p>
    <w:p w14:paraId="6EC7C9B5">
      <w:pPr>
        <w:spacing w:before="120" w:line="360" w:lineRule="auto"/>
        <w:ind w:left="960"/>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采购项目名称</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14:paraId="1DD1288A">
      <w:pPr>
        <w:spacing w:before="120" w:line="360" w:lineRule="auto"/>
        <w:ind w:left="96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采购人</w:t>
      </w:r>
      <w:r>
        <w:rPr>
          <w:rFonts w:hint="eastAsia" w:ascii="宋体" w:hAnsi="宋体" w:eastAsia="宋体" w:cs="宋体"/>
          <w:b/>
          <w:bCs/>
          <w:color w:val="auto"/>
          <w:sz w:val="28"/>
          <w:szCs w:val="28"/>
          <w:lang w:eastAsia="zh-CN"/>
        </w:rPr>
        <w:t>（甲方）</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14:paraId="21BA2F20">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成交供应商（乙方）：</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417DF78E">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签署地点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135E79C7">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签署日期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161E7FF5">
      <w:pPr>
        <w:spacing w:before="120" w:line="360" w:lineRule="auto"/>
        <w:rPr>
          <w:rFonts w:hint="eastAsia"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4"/>
          <w:szCs w:val="24"/>
          <w:lang w:val="en-US" w:eastAsia="zh-CN"/>
        </w:rPr>
        <w:t>采购人（甲方）</w:t>
      </w:r>
      <w:r>
        <w:rPr>
          <w:rFonts w:hint="eastAsia" w:ascii="宋体" w:hAnsi="宋体" w:eastAsia="宋体" w:cs="宋体"/>
          <w:b/>
          <w:bCs/>
          <w:color w:val="auto"/>
          <w:sz w:val="24"/>
          <w:szCs w:val="24"/>
        </w:rPr>
        <w:t>：</w:t>
      </w:r>
      <w:r>
        <w:rPr>
          <w:rFonts w:hint="eastAsia" w:ascii="宋体" w:hAnsi="宋体" w:cs="宋体"/>
          <w:b/>
          <w:bCs/>
          <w:color w:val="auto"/>
          <w:sz w:val="24"/>
          <w:szCs w:val="24"/>
          <w:u w:val="single"/>
          <w:lang w:eastAsia="zh-CN"/>
        </w:rPr>
        <w:t>西安市未央区草滩街道办事处</w:t>
      </w:r>
      <w:r>
        <w:rPr>
          <w:rFonts w:hint="eastAsia" w:ascii="宋体" w:hAnsi="宋体" w:eastAsia="宋体" w:cs="宋体"/>
          <w:b/>
          <w:bCs/>
          <w:color w:val="auto"/>
          <w:sz w:val="28"/>
          <w:szCs w:val="28"/>
          <w:u w:val="single"/>
          <w:lang w:val="en-US" w:eastAsia="zh-CN"/>
        </w:rPr>
        <w:t xml:space="preserve"> </w:t>
      </w:r>
    </w:p>
    <w:p w14:paraId="50E03463">
      <w:pPr>
        <w:keepNext w:val="0"/>
        <w:keepLines w:val="0"/>
        <w:pageBreakBefore w:val="0"/>
        <w:kinsoku w:val="0"/>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成交供应商（乙方）</w:t>
      </w:r>
      <w:r>
        <w:rPr>
          <w:rFonts w:hint="eastAsia" w:ascii="宋体" w:hAnsi="宋体" w:eastAsia="宋体" w:cs="宋体"/>
          <w:b/>
          <w:bCs/>
          <w:color w:val="auto"/>
          <w:sz w:val="24"/>
          <w:szCs w:val="24"/>
        </w:rPr>
        <w:t>：</w:t>
      </w:r>
      <w:r>
        <w:rPr>
          <w:rFonts w:hint="eastAsia" w:ascii="宋体" w:hAnsi="宋体" w:eastAsia="宋体" w:cs="宋体"/>
          <w:b/>
          <w:bCs/>
          <w:color w:val="auto"/>
          <w:sz w:val="28"/>
          <w:szCs w:val="28"/>
          <w:u w:val="single"/>
          <w:lang w:val="en-US" w:eastAsia="zh-CN"/>
        </w:rPr>
        <w:t xml:space="preserve">                      </w:t>
      </w:r>
    </w:p>
    <w:p w14:paraId="53B5FD7A">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《中华人民共和国政府采购法》、《中华人民共和国政府采购法实施条例》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等法律法规，甲方通过竞争性磋商，选定乙方为成交单位。甲、乙双方在平等基础上协商一致，达成如下合同条款:</w:t>
      </w:r>
    </w:p>
    <w:p w14:paraId="2C6A67B6">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 xml:space="preserve"> 服务</w:t>
      </w:r>
      <w:r>
        <w:rPr>
          <w:rFonts w:hint="eastAsia" w:ascii="宋体" w:hAnsi="宋体" w:eastAsia="宋体" w:cs="宋体"/>
          <w:b/>
          <w:bCs/>
          <w:color w:val="auto"/>
          <w:sz w:val="24"/>
          <w:szCs w:val="24"/>
          <w:lang w:val="en-US" w:eastAsia="zh-CN"/>
        </w:rPr>
        <w:t>内容及要求</w:t>
      </w:r>
      <w:r>
        <w:rPr>
          <w:rFonts w:hint="eastAsia" w:ascii="宋体" w:hAnsi="宋体" w:eastAsia="宋体" w:cs="宋体"/>
          <w:b/>
          <w:color w:val="auto"/>
          <w:sz w:val="24"/>
          <w:szCs w:val="24"/>
        </w:rPr>
        <w:t>：</w:t>
      </w:r>
    </w:p>
    <w:p w14:paraId="26A33D5E">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（一）服务内容（采买清单）</w:t>
      </w:r>
    </w:p>
    <w:tbl>
      <w:tblPr>
        <w:tblStyle w:val="5"/>
        <w:tblW w:w="8259" w:type="dxa"/>
        <w:tblInd w:w="-10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26"/>
        <w:gridCol w:w="2747"/>
        <w:gridCol w:w="4186"/>
      </w:tblGrid>
      <w:tr w14:paraId="51DC3E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2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2CA9BD75">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序号</w:t>
            </w:r>
          </w:p>
        </w:tc>
        <w:tc>
          <w:tcPr>
            <w:tcW w:w="274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EF5F910">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品名</w:t>
            </w:r>
          </w:p>
        </w:tc>
        <w:tc>
          <w:tcPr>
            <w:tcW w:w="418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165311D">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食材要求</w:t>
            </w:r>
          </w:p>
        </w:tc>
      </w:tr>
      <w:tr w14:paraId="211E8D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2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B3C1A4D">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w:t>
            </w:r>
          </w:p>
        </w:tc>
        <w:tc>
          <w:tcPr>
            <w:tcW w:w="274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E227D10">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蔬菜类</w:t>
            </w:r>
          </w:p>
        </w:tc>
        <w:tc>
          <w:tcPr>
            <w:tcW w:w="418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C46887E">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当季各类新鲜蔬菜以及大棚种植蔬菜，蔬菜类 必须保证无黄叶、枯死叶、无虫、无杂质，须 48 小时内采摘供应，原菜须保证菜面干净、无明显泥土、码放整齐、无破损、大小基本统一、不得过熟或欠熟；净菜须保证菜面完全干净、 无泥土、按统一标准加工、码放整齐，符合《食 品安全法》要求</w:t>
            </w:r>
          </w:p>
        </w:tc>
      </w:tr>
      <w:tr w14:paraId="58F41E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2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1B315DD">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w:t>
            </w:r>
          </w:p>
        </w:tc>
        <w:tc>
          <w:tcPr>
            <w:tcW w:w="274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8AC162C">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豆制品</w:t>
            </w:r>
          </w:p>
        </w:tc>
        <w:tc>
          <w:tcPr>
            <w:tcW w:w="418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CF200D7">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豆制品须保证食材干净、不含非食品用化学物 质、按统一标准加工、码放整齐、无须二次处 理可以直接进行熟加工，送货当日时间不得超 过保质期的 1/3 时长，符合《食品安全法》要求</w:t>
            </w:r>
          </w:p>
        </w:tc>
      </w:tr>
      <w:tr w14:paraId="692647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2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8172195">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w:t>
            </w:r>
          </w:p>
        </w:tc>
        <w:tc>
          <w:tcPr>
            <w:tcW w:w="274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AD4B94A">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水果类</w:t>
            </w:r>
          </w:p>
        </w:tc>
        <w:tc>
          <w:tcPr>
            <w:tcW w:w="4186"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D6FFE5C">
            <w:pPr>
              <w:pStyle w:val="9"/>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时令各类水果，无虫、无杂质，须 48 小时内 采摘供应，原水果须保证果面干净、无明显泥 土、码放整齐、无破损、大小基本统一、不得 过熟或欠熟，符合《食品安全法》要求</w:t>
            </w:r>
          </w:p>
        </w:tc>
      </w:tr>
    </w:tbl>
    <w:p w14:paraId="0386813F">
      <w:pPr>
        <w:pStyle w:val="2"/>
        <w:ind w:firstLine="400" w:firstLineChars="200"/>
        <w:rPr>
          <w:rFonts w:hint="eastAsia" w:ascii="宋体" w:hAnsi="宋体" w:eastAsia="宋体" w:cs="宋体"/>
          <w:b w:val="0"/>
          <w:bCs/>
          <w:color w:val="auto"/>
          <w:kern w:val="0"/>
          <w:sz w:val="20"/>
          <w:szCs w:val="20"/>
          <w:lang w:val="zh-TW" w:eastAsia="zh-CN" w:bidi="zh-TW"/>
        </w:rPr>
      </w:pPr>
      <w:r>
        <w:rPr>
          <w:rFonts w:hint="eastAsia" w:ascii="宋体" w:hAnsi="宋体" w:eastAsia="宋体" w:cs="宋体"/>
          <w:b w:val="0"/>
          <w:bCs/>
          <w:color w:val="auto"/>
          <w:kern w:val="0"/>
          <w:sz w:val="20"/>
          <w:szCs w:val="20"/>
          <w:lang w:val="zh-TW" w:eastAsia="zh-CN" w:bidi="zh-TW"/>
        </w:rPr>
        <w:t>注：采购人具体采购品种包含但不限于以上品种。若采购清单上有部分货物因为季节或其他特殊原因无法提供，经采购人同意后方可调换其他品种。结算也以实际供货验收单为准。</w:t>
      </w:r>
    </w:p>
    <w:p w14:paraId="4BB09BA3">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（二）配送要求：</w:t>
      </w:r>
    </w:p>
    <w:p w14:paraId="6D2822B5">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（1）供应商须根据食堂要求提供的所有食材的具体品类、规格来供应产品，保质保量，准时准点满足食堂需求；</w:t>
      </w:r>
    </w:p>
    <w:p w14:paraId="1720BE6F">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 xml:space="preserve">（2）供应商自备送货车（冷藏或恒温），安排专人及时供货，装卸费、送货费用及运输安全由供应商承担； </w:t>
      </w:r>
    </w:p>
    <w:p w14:paraId="47ABD5B6">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（3）蔬菜水果原则上要求每天送货1次，确保蔬菜、水果的新鲜；</w:t>
      </w:r>
    </w:p>
    <w:p w14:paraId="04E38426">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（4）特殊情况下，食堂需要的小批量的急用物资，供应商应予以满足解决；</w:t>
      </w:r>
    </w:p>
    <w:p w14:paraId="21C2BE09">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（5）所有食材供应商必须按照采购人要求的种类、规格进行供货，满足采购人使用需求。所有食材配送服务均以采购人通知为准，采购人有权根据实际需求量随时调整采购计划及供货时间段。</w:t>
      </w:r>
    </w:p>
    <w:p w14:paraId="237E534C">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黑体" w:hAnsi="Times New Roman" w:eastAsia="黑体" w:cs="Times New Roman"/>
          <w:sz w:val="24"/>
          <w:szCs w:val="24"/>
          <w:lang w:val="en-US" w:eastAsia="zh-CN" w:bidi="ar-SA"/>
        </w:rPr>
      </w:pPr>
      <w:r>
        <w:rPr>
          <w:rFonts w:hint="eastAsia" w:ascii="宋体" w:hAnsi="宋体" w:eastAsia="宋体" w:cs="Times New Roman"/>
          <w:b/>
          <w:bCs/>
          <w:color w:val="auto"/>
          <w:sz w:val="24"/>
          <w:szCs w:val="24"/>
          <w:lang w:val="en-US" w:eastAsia="zh-CN" w:bidi="ar-SA"/>
        </w:rPr>
        <w:t>（三）验收标准：</w:t>
      </w:r>
    </w:p>
    <w:p w14:paraId="053CCFF3">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保管员、采购员负责入库食品检验，当班厨师长配合质量验收，验收标准如下：</w:t>
      </w:r>
    </w:p>
    <w:p w14:paraId="22240492">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定型包装食品，应检验包装标识或者产品说明书是否标出品名、产地、厂名、生产日期、批号或者代号、规格、配方或者主要成份、保质期限、食用或者使用方法等，防止购进假冒伪劣产品，禁止“三无”产品进入食堂；</w:t>
      </w:r>
    </w:p>
    <w:p w14:paraId="01D71078">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（3）包装污秽不洁、严重破损、运输工具不洁等造成污染的产品不得验收入库；</w:t>
      </w:r>
    </w:p>
    <w:p w14:paraId="01F6C630">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420BC581">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（5）食堂采购员、库管员和当班厨师共同对所购食品原辅料的质量、数量进行核对验收，验收合格的及时入库，不合格产品应及时退回供应商，同时做好验收记录。食堂管理员不定时抽查；</w:t>
      </w:r>
    </w:p>
    <w:p w14:paraId="09E7CFF4">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（6）食材购回后，保管员和厨师共同验收，并在《原料购进验收单》上签字确认；</w:t>
      </w:r>
    </w:p>
    <w:p w14:paraId="6D0566E1">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（7）入库时，保管员要清点入库物品的数量、规格，做到数量、规格、品种准确无误，入库时按不同的材质、规格、功能和要求，分类、分别储存，做到账物相符。</w:t>
      </w:r>
    </w:p>
    <w:p w14:paraId="56B431FF">
      <w:pPr>
        <w:pStyle w:val="8"/>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olor w:val="auto"/>
          <w:sz w:val="24"/>
          <w:szCs w:val="24"/>
        </w:rPr>
      </w:pPr>
      <w:r>
        <w:rPr>
          <w:rFonts w:hint="eastAsia" w:ascii="宋体" w:hAnsi="宋体" w:eastAsia="宋体" w:cs="Times New Roman"/>
          <w:color w:val="auto"/>
          <w:sz w:val="24"/>
          <w:szCs w:val="24"/>
          <w:lang w:val="en-US" w:eastAsia="zh-CN" w:bidi="ar-SA"/>
        </w:rPr>
        <w:t>（8）每批次每种食材均抽查验收，对数量在 30 箱以上（含 30 箱）的抽查率为 10%，30 箱以下的抽查率为 15%。如发现食材有损坏等情况，应在相关单据上记录所有损坏情况并拍照留存。采购人使用单位验收人员应和供应商送货人员一起确认，并保留双方签字单据。</w:t>
      </w:r>
    </w:p>
    <w:p w14:paraId="7B9CBF16">
      <w:pPr>
        <w:keepNext w:val="0"/>
        <w:keepLines w:val="0"/>
        <w:pageBreakBefore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lang w:val="en-US" w:eastAsia="zh-CN"/>
        </w:rPr>
        <w:t>（四）服务期:</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w:t>
      </w:r>
    </w:p>
    <w:p w14:paraId="41D2A480">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二、合同价格</w:t>
      </w:r>
    </w:p>
    <w:p w14:paraId="6DA981F0">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合同总价：人民币大写：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color w:val="auto"/>
          <w:sz w:val="24"/>
          <w:szCs w:val="24"/>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58E37A4C">
      <w:pPr>
        <w:keepNext w:val="0"/>
        <w:keepLines w:val="0"/>
        <w:pageBreakBefore w:val="0"/>
        <w:numPr>
          <w:ilvl w:val="0"/>
          <w:numId w:val="2"/>
        </w:numPr>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lang w:val="en-US" w:eastAsia="zh-CN"/>
        </w:rPr>
        <w:t>付款方式:</w:t>
      </w:r>
    </w:p>
    <w:p w14:paraId="5C2289E5">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1.按月根据供货单按实结算，成交供应商在接受采购人的每一笔付款前，应向</w:t>
      </w:r>
      <w:r>
        <w:rPr>
          <w:rFonts w:hint="eastAsia" w:ascii="宋体" w:hAnsi="宋体" w:cs="宋体"/>
          <w:color w:val="auto"/>
          <w:sz w:val="24"/>
          <w:szCs w:val="24"/>
          <w:u w:val="single"/>
          <w:lang w:eastAsia="zh-CN"/>
        </w:rPr>
        <w:t>采购人</w:t>
      </w:r>
      <w:r>
        <w:rPr>
          <w:rFonts w:hint="eastAsia" w:ascii="宋体" w:hAnsi="宋体" w:eastAsia="宋体" w:cs="宋体"/>
          <w:color w:val="auto"/>
          <w:sz w:val="24"/>
          <w:szCs w:val="24"/>
          <w:u w:val="single"/>
        </w:rPr>
        <w:t>开具相应金额的发票。</w:t>
      </w:r>
    </w:p>
    <w:p w14:paraId="7DED2593">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2.货物送到甲方指定地点，验收合格后，乙方提供所供货物清单，甲方对所供货物的价格进行核实，经核实无误后在供货单上签字确认。结算时按甲方签字确认的供货单按实结算。</w:t>
      </w:r>
    </w:p>
    <w:p w14:paraId="4216EC35">
      <w:pPr>
        <w:autoSpaceDE w:val="0"/>
        <w:autoSpaceDN w:val="0"/>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、保密条款</w:t>
      </w:r>
    </w:p>
    <w:p w14:paraId="3D31C56D">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在甲方工作期间获得及接触的甲方的任何形式的保密信息，乙方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不得在本协议目的之外使用，也不得向任何第三方提供这些信息和接触这些信息的手段。</w:t>
      </w:r>
    </w:p>
    <w:p w14:paraId="07D93963">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2、乙方应管理和教育好</w:t>
      </w:r>
      <w:r>
        <w:rPr>
          <w:rFonts w:hint="eastAsia" w:ascii="宋体" w:hAnsi="宋体" w:eastAsia="宋体" w:cs="宋体"/>
          <w:color w:val="auto"/>
          <w:sz w:val="24"/>
          <w:szCs w:val="24"/>
          <w:lang w:val="en-US" w:eastAsia="zh-CN"/>
        </w:rPr>
        <w:t>拟派</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遵守甲方的保密规定。如果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违反甲方的保密要求，给甲方造成损失，甲方有权利追究乙方的责任。</w:t>
      </w:r>
    </w:p>
    <w:p w14:paraId="7CFD5836">
      <w:pPr>
        <w:pStyle w:val="3"/>
        <w:keepNext w:val="0"/>
        <w:keepLines w:val="0"/>
        <w:pageBreakBefore w:val="0"/>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color w:val="auto"/>
          <w:kern w:val="2"/>
          <w:sz w:val="24"/>
          <w:szCs w:val="24"/>
          <w:lang w:val="en-US" w:eastAsia="zh-CN" w:bidi="ar-SA"/>
        </w:rPr>
        <w:t>违约责任</w:t>
      </w:r>
    </w:p>
    <w:p w14:paraId="72F09868">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1、甲乙双方如因为其他原因要解除合约，应提前一个月通知对方，如有一方违反将补偿对方一个月服务费</w:t>
      </w:r>
      <w:r>
        <w:rPr>
          <w:rFonts w:hint="eastAsia" w:ascii="宋体" w:hAnsi="宋体" w:eastAsia="宋体" w:cs="宋体"/>
          <w:color w:val="auto"/>
          <w:kern w:val="0"/>
          <w:sz w:val="24"/>
          <w:szCs w:val="24"/>
          <w:shd w:val="clear" w:color="auto" w:fill="FFFFFF"/>
          <w:lang w:eastAsia="zh-CN" w:bidi="ar"/>
        </w:rPr>
        <w:t>，</w:t>
      </w:r>
      <w:r>
        <w:rPr>
          <w:rFonts w:hint="eastAsia" w:ascii="宋体" w:hAnsi="宋体" w:eastAsia="宋体" w:cs="宋体"/>
          <w:color w:val="auto"/>
          <w:kern w:val="0"/>
          <w:sz w:val="24"/>
          <w:szCs w:val="24"/>
          <w:shd w:val="clear" w:color="auto" w:fill="FFFFFF"/>
          <w:lang w:val="en-US" w:eastAsia="zh-CN" w:bidi="ar"/>
        </w:rPr>
        <w:t>同时按照相关法律法规承担相应处罚</w:t>
      </w:r>
      <w:r>
        <w:rPr>
          <w:rFonts w:hint="eastAsia" w:ascii="宋体" w:hAnsi="宋体" w:eastAsia="宋体" w:cs="宋体"/>
          <w:color w:val="auto"/>
          <w:kern w:val="0"/>
          <w:sz w:val="24"/>
          <w:szCs w:val="24"/>
          <w:shd w:val="clear" w:color="auto" w:fill="FFFFFF"/>
          <w:lang w:bidi="ar"/>
        </w:rPr>
        <w:t>。</w:t>
      </w:r>
    </w:p>
    <w:p w14:paraId="05C592AD">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2、乙方不认真履行合同条款或因其它理由突然终止合同，视为乙方单方违约，甲方即废除同乙方合同，乙方须赔偿甲方当月服务费。</w:t>
      </w:r>
    </w:p>
    <w:p w14:paraId="24AAC274">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3、甲方无正当理由拒付乙方服务费或无故拖欠服务费一个月以上时，乙方有权单方解除合同并撤回派驻人员。甲方须承担追加一个月服务费违约金。</w:t>
      </w:r>
    </w:p>
    <w:p w14:paraId="1B765CA5">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4、乙方在工作中故意或疏忽而出现的责任事故因乙方原因造成他人人身伤害、财产损失及严重损失甲方声誉的，每出现一次，乙方除承担相关赔偿责任，甲方有权单方面解除本合同。</w:t>
      </w:r>
    </w:p>
    <w:p w14:paraId="2BFFA606">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5、乙方</w:t>
      </w:r>
      <w:r>
        <w:rPr>
          <w:rFonts w:hint="eastAsia" w:ascii="宋体" w:hAnsi="宋体" w:eastAsia="宋体" w:cs="宋体"/>
          <w:color w:val="auto"/>
          <w:kern w:val="0"/>
          <w:sz w:val="24"/>
          <w:szCs w:val="24"/>
          <w:shd w:val="clear" w:color="auto" w:fill="FFFFFF"/>
          <w:lang w:eastAsia="zh-CN" w:bidi="ar"/>
        </w:rPr>
        <w:t>人</w:t>
      </w:r>
      <w:r>
        <w:rPr>
          <w:rFonts w:hint="eastAsia" w:ascii="宋体" w:hAnsi="宋体" w:eastAsia="宋体" w:cs="宋体"/>
          <w:color w:val="auto"/>
          <w:kern w:val="0"/>
          <w:sz w:val="24"/>
          <w:szCs w:val="24"/>
          <w:shd w:val="clear" w:color="auto" w:fill="FFFFFF"/>
          <w:lang w:bidi="ar"/>
        </w:rPr>
        <w:t>员违反合同所约定之义务，影响合同约定区域的安全或导致甲方其他方面损害，经甲方</w:t>
      </w:r>
      <w:r>
        <w:rPr>
          <w:rFonts w:hint="eastAsia" w:ascii="宋体" w:hAnsi="宋体" w:eastAsia="宋体" w:cs="宋体"/>
          <w:color w:val="auto"/>
          <w:kern w:val="0"/>
          <w:sz w:val="24"/>
          <w:szCs w:val="24"/>
          <w:shd w:val="clear" w:color="auto" w:fill="FFFFFF"/>
          <w:lang w:eastAsia="zh-CN" w:bidi="ar"/>
        </w:rPr>
        <w:t>书面</w:t>
      </w:r>
      <w:r>
        <w:rPr>
          <w:rFonts w:hint="eastAsia" w:ascii="宋体" w:hAnsi="宋体" w:eastAsia="宋体" w:cs="宋体"/>
          <w:color w:val="auto"/>
          <w:kern w:val="0"/>
          <w:sz w:val="24"/>
          <w:szCs w:val="24"/>
          <w:shd w:val="clear" w:color="auto" w:fill="FFFFFF"/>
          <w:lang w:bidi="ar"/>
        </w:rPr>
        <w:t>警告仍无整改，甲方有权单方面终止合同，而无须承担任何责任。</w:t>
      </w:r>
    </w:p>
    <w:p w14:paraId="09FF462B">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、合同争议的解决</w:t>
      </w:r>
    </w:p>
    <w:p w14:paraId="7089011B">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合同一经签订，不得随意变更、中止或终止。对确需变更、调整或者中止、终止合同的，应按规定履行相应的手续。</w:t>
      </w:r>
    </w:p>
    <w:p w14:paraId="7466F3E9">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合同执行中发生争议的，甲、乙双方应协商解决，协商达不成一致时，可向甲方所在地人民法院提请诉讼。</w:t>
      </w:r>
    </w:p>
    <w:p w14:paraId="773DEEA1">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、其它事项</w:t>
      </w:r>
    </w:p>
    <w:p w14:paraId="5EB3C42C">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1、甲、乙双方作为合同执行的主体，有义务及时完全履行合同。</w:t>
      </w:r>
    </w:p>
    <w:p w14:paraId="6F3827B3">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、合同未尽事宜，由甲、乙双方协商签订补充协议，作为本合同不可分割的组成部分，与本合同具有同等法律效力。</w:t>
      </w:r>
    </w:p>
    <w:p w14:paraId="4C2693F7">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、磋商文件和乙方的磋商响应文件以及合同附件均为合同不可分割的部分。</w:t>
      </w:r>
    </w:p>
    <w:p w14:paraId="5AD36C2F">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份。双方签字盖章后生效，合同执行完毕自动失效。</w:t>
      </w:r>
    </w:p>
    <w:tbl>
      <w:tblPr>
        <w:tblStyle w:val="5"/>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6228B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shd w:val="clear" w:color="auto" w:fill="D8D8D8"/>
            <w:noWrap w:val="0"/>
            <w:vAlign w:val="bottom"/>
          </w:tcPr>
          <w:p w14:paraId="46D8BCA1">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甲</w:t>
            </w:r>
            <w:r>
              <w:rPr>
                <w:rFonts w:hint="eastAsia" w:ascii="宋体" w:hAnsi="宋体" w:eastAsia="宋体" w:cs="宋体"/>
                <w:b/>
                <w:color w:val="auto"/>
                <w:sz w:val="24"/>
                <w:szCs w:val="24"/>
                <w:highlight w:val="none"/>
              </w:rPr>
              <w:t xml:space="preserve"> 方</w:t>
            </w:r>
          </w:p>
        </w:tc>
        <w:tc>
          <w:tcPr>
            <w:tcW w:w="4345" w:type="dxa"/>
            <w:tcBorders>
              <w:tl2br w:val="nil"/>
              <w:tr2bl w:val="nil"/>
            </w:tcBorders>
            <w:shd w:val="clear" w:color="auto" w:fill="D8D8D8"/>
            <w:noWrap w:val="0"/>
            <w:vAlign w:val="bottom"/>
          </w:tcPr>
          <w:p w14:paraId="31668C9A">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乙</w:t>
            </w:r>
            <w:r>
              <w:rPr>
                <w:rFonts w:hint="eastAsia" w:ascii="宋体" w:hAnsi="宋体" w:eastAsia="宋体" w:cs="宋体"/>
                <w:b/>
                <w:color w:val="auto"/>
                <w:sz w:val="24"/>
                <w:szCs w:val="24"/>
                <w:highlight w:val="none"/>
              </w:rPr>
              <w:t xml:space="preserve">  方</w:t>
            </w:r>
          </w:p>
        </w:tc>
      </w:tr>
      <w:tr w14:paraId="5FB69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076FFC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（公章）</w:t>
            </w:r>
          </w:p>
        </w:tc>
        <w:tc>
          <w:tcPr>
            <w:tcW w:w="4345" w:type="dxa"/>
            <w:tcBorders>
              <w:tl2br w:val="nil"/>
              <w:tr2bl w:val="nil"/>
            </w:tcBorders>
            <w:noWrap w:val="0"/>
            <w:vAlign w:val="center"/>
          </w:tcPr>
          <w:p w14:paraId="4B7637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（公章）</w:t>
            </w:r>
          </w:p>
        </w:tc>
      </w:tr>
      <w:tr w14:paraId="68E97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7C67F2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345" w:type="dxa"/>
            <w:tcBorders>
              <w:tl2br w:val="nil"/>
              <w:tr2bl w:val="nil"/>
            </w:tcBorders>
            <w:noWrap w:val="0"/>
            <w:vAlign w:val="center"/>
          </w:tcPr>
          <w:p w14:paraId="0D0923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212F7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7A1878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345" w:type="dxa"/>
            <w:tcBorders>
              <w:tl2br w:val="nil"/>
              <w:tr2bl w:val="nil"/>
            </w:tcBorders>
            <w:noWrap w:val="0"/>
            <w:vAlign w:val="center"/>
          </w:tcPr>
          <w:p w14:paraId="27EEA4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1FC51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7525C6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345" w:type="dxa"/>
            <w:tcBorders>
              <w:tl2br w:val="nil"/>
              <w:tr2bl w:val="nil"/>
            </w:tcBorders>
            <w:noWrap w:val="0"/>
            <w:vAlign w:val="center"/>
          </w:tcPr>
          <w:p w14:paraId="60A1C7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4459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15B6933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c>
          <w:tcPr>
            <w:tcW w:w="4345" w:type="dxa"/>
            <w:tcBorders>
              <w:tl2br w:val="nil"/>
              <w:tr2bl w:val="nil"/>
            </w:tcBorders>
            <w:noWrap w:val="0"/>
            <w:vAlign w:val="center"/>
          </w:tcPr>
          <w:p w14:paraId="00956A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r>
      <w:tr w14:paraId="48A5C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057BC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345" w:type="dxa"/>
            <w:tcBorders>
              <w:tl2br w:val="nil"/>
              <w:tr2bl w:val="nil"/>
            </w:tcBorders>
            <w:noWrap w:val="0"/>
            <w:vAlign w:val="center"/>
          </w:tcPr>
          <w:p w14:paraId="30F5BA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304DA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EE0D7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345" w:type="dxa"/>
            <w:tcBorders>
              <w:tl2br w:val="nil"/>
              <w:tr2bl w:val="nil"/>
            </w:tcBorders>
            <w:noWrap w:val="0"/>
            <w:vAlign w:val="center"/>
          </w:tcPr>
          <w:p w14:paraId="0A9B83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5D0E0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99EAA59">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14:paraId="08364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5DF04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63F7DFE0">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14:paraId="302D23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14:paraId="5488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BB599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tc>
        <w:tc>
          <w:tcPr>
            <w:tcW w:w="4345" w:type="dxa"/>
            <w:tcBorders>
              <w:tl2br w:val="nil"/>
              <w:tr2bl w:val="nil"/>
            </w:tcBorders>
            <w:noWrap w:val="0"/>
            <w:vAlign w:val="center"/>
          </w:tcPr>
          <w:p w14:paraId="4E7A11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14:paraId="3F08328D">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p>
    <w:p w14:paraId="554B156A">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auto"/>
          <w:sz w:val="24"/>
          <w:szCs w:val="24"/>
        </w:rPr>
      </w:pPr>
    </w:p>
    <w:p w14:paraId="74479698">
      <w:r>
        <w:br w:type="page"/>
      </w:r>
    </w:p>
    <w:p w14:paraId="64D3C73A">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二包</w:t>
      </w:r>
      <w:r>
        <w:rPr>
          <w:rFonts w:hint="eastAsia" w:ascii="宋体" w:hAnsi="宋体" w:eastAsia="宋体" w:cs="宋体"/>
          <w:b/>
          <w:bCs/>
          <w:color w:val="auto"/>
          <w:sz w:val="32"/>
          <w:szCs w:val="32"/>
          <w:highlight w:val="none"/>
          <w:lang w:val="zh-CN"/>
        </w:rPr>
        <w:t>）合同格式</w:t>
      </w:r>
    </w:p>
    <w:p w14:paraId="6BD286F8">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46729E58">
      <w:pPr>
        <w:spacing w:before="120" w:line="360" w:lineRule="auto"/>
        <w:jc w:val="center"/>
        <w:rPr>
          <w:rFonts w:hint="eastAsia" w:ascii="宋体" w:hAnsi="宋体" w:eastAsia="宋体" w:cs="宋体"/>
          <w:b/>
          <w:bCs/>
          <w:color w:val="auto"/>
          <w:sz w:val="36"/>
          <w:szCs w:val="36"/>
        </w:rPr>
      </w:pPr>
    </w:p>
    <w:p w14:paraId="4ED4D48C">
      <w:pPr>
        <w:spacing w:before="120" w:line="360" w:lineRule="auto"/>
        <w:jc w:val="center"/>
        <w:rPr>
          <w:rFonts w:hint="eastAsia" w:ascii="宋体" w:hAnsi="宋体" w:eastAsia="宋体" w:cs="宋体"/>
          <w:b/>
          <w:bCs/>
          <w:color w:val="auto"/>
          <w:sz w:val="36"/>
          <w:szCs w:val="36"/>
        </w:rPr>
      </w:pPr>
    </w:p>
    <w:p w14:paraId="4BE56050">
      <w:pPr>
        <w:spacing w:before="120" w:line="360" w:lineRule="auto"/>
        <w:jc w:val="center"/>
        <w:rPr>
          <w:rFonts w:hint="eastAsia" w:ascii="宋体" w:hAnsi="宋体" w:eastAsia="宋体" w:cs="宋体"/>
          <w:b/>
          <w:bCs/>
          <w:color w:val="auto"/>
          <w:sz w:val="36"/>
          <w:szCs w:val="36"/>
        </w:rPr>
      </w:pPr>
    </w:p>
    <w:p w14:paraId="64F45044">
      <w:pPr>
        <w:spacing w:before="120" w:line="360" w:lineRule="auto"/>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政 府 采 购 合 同</w:t>
      </w:r>
    </w:p>
    <w:p w14:paraId="545A9A1D">
      <w:pPr>
        <w:spacing w:before="120" w:line="360" w:lineRule="auto"/>
        <w:jc w:val="center"/>
        <w:rPr>
          <w:rFonts w:hint="eastAsia" w:ascii="宋体" w:hAnsi="宋体" w:eastAsia="宋体" w:cs="宋体"/>
          <w:color w:val="auto"/>
          <w:sz w:val="28"/>
          <w:szCs w:val="28"/>
        </w:rPr>
      </w:pPr>
    </w:p>
    <w:p w14:paraId="7414B51C">
      <w:pPr>
        <w:spacing w:before="120" w:line="360" w:lineRule="auto"/>
        <w:ind w:firstLine="3064" w:firstLineChars="1090"/>
        <w:rPr>
          <w:rFonts w:hint="eastAsia" w:ascii="宋体" w:hAnsi="宋体" w:eastAsia="宋体" w:cs="宋体"/>
          <w:color w:val="auto"/>
          <w:sz w:val="28"/>
          <w:szCs w:val="28"/>
        </w:rPr>
      </w:pPr>
      <w:r>
        <w:rPr>
          <w:rFonts w:hint="eastAsia" w:ascii="宋体" w:hAnsi="宋体" w:eastAsia="宋体" w:cs="宋体"/>
          <w:b/>
          <w:bCs/>
          <w:color w:val="auto"/>
          <w:sz w:val="28"/>
          <w:szCs w:val="28"/>
        </w:rPr>
        <w:t>合同编号：</w:t>
      </w:r>
      <w:r>
        <w:rPr>
          <w:rFonts w:hint="eastAsia" w:ascii="宋体" w:hAnsi="宋体" w:eastAsia="宋体" w:cs="宋体"/>
          <w:b/>
          <w:bCs/>
          <w:color w:val="auto"/>
          <w:sz w:val="28"/>
          <w:szCs w:val="28"/>
          <w:u w:val="single"/>
        </w:rPr>
        <w:t xml:space="preserve">            </w:t>
      </w:r>
      <w:r>
        <w:rPr>
          <w:rFonts w:hint="eastAsia" w:ascii="宋体" w:hAnsi="宋体" w:eastAsia="宋体" w:cs="宋体"/>
          <w:color w:val="auto"/>
          <w:sz w:val="28"/>
          <w:szCs w:val="28"/>
        </w:rPr>
        <w:t xml:space="preserve">        </w:t>
      </w:r>
    </w:p>
    <w:p w14:paraId="00850F19">
      <w:pPr>
        <w:widowControl w:val="0"/>
        <w:spacing w:before="120" w:line="360" w:lineRule="auto"/>
        <w:ind w:firstLine="0"/>
        <w:jc w:val="both"/>
        <w:rPr>
          <w:rFonts w:hint="eastAsia" w:ascii="宋体" w:hAnsi="宋体" w:eastAsia="宋体" w:cs="宋体"/>
          <w:color w:val="auto"/>
          <w:kern w:val="2"/>
          <w:sz w:val="28"/>
          <w:szCs w:val="28"/>
          <w:lang w:val="en-US" w:eastAsia="zh-CN" w:bidi="ar-SA"/>
        </w:rPr>
      </w:pPr>
    </w:p>
    <w:p w14:paraId="204D7FB1">
      <w:pPr>
        <w:spacing w:before="120" w:line="360" w:lineRule="auto"/>
        <w:rPr>
          <w:rFonts w:hint="eastAsia" w:ascii="宋体" w:hAnsi="宋体" w:eastAsia="宋体" w:cs="宋体"/>
          <w:b/>
          <w:bCs/>
          <w:color w:val="auto"/>
          <w:sz w:val="28"/>
          <w:szCs w:val="28"/>
        </w:rPr>
      </w:pPr>
    </w:p>
    <w:p w14:paraId="3723A8FD">
      <w:pPr>
        <w:widowControl w:val="0"/>
        <w:jc w:val="left"/>
        <w:rPr>
          <w:rFonts w:hint="eastAsia" w:ascii="宋体" w:hAnsi="宋体" w:eastAsia="宋体" w:cs="宋体"/>
          <w:b/>
          <w:bCs/>
          <w:color w:val="auto"/>
          <w:kern w:val="2"/>
          <w:sz w:val="28"/>
          <w:szCs w:val="28"/>
          <w:lang w:val="en-US" w:eastAsia="zh-CN" w:bidi="ar-SA"/>
        </w:rPr>
      </w:pPr>
    </w:p>
    <w:p w14:paraId="40CBED14">
      <w:pPr>
        <w:rPr>
          <w:rFonts w:hint="eastAsia" w:ascii="宋体" w:hAnsi="宋体" w:eastAsia="宋体" w:cs="宋体"/>
          <w:b/>
          <w:bCs/>
          <w:color w:val="auto"/>
          <w:sz w:val="28"/>
          <w:szCs w:val="28"/>
        </w:rPr>
      </w:pPr>
    </w:p>
    <w:p w14:paraId="4D4D5603">
      <w:pPr>
        <w:widowControl w:val="0"/>
        <w:jc w:val="left"/>
        <w:rPr>
          <w:rFonts w:hint="eastAsia" w:ascii="Copperplate Gothic Bold" w:hAnsi="Copperplate Gothic Bold" w:eastAsia="宋体" w:cs="Times New Roman"/>
          <w:color w:val="auto"/>
          <w:kern w:val="2"/>
          <w:sz w:val="28"/>
          <w:lang w:val="en-US" w:eastAsia="zh-CN" w:bidi="ar-SA"/>
        </w:rPr>
      </w:pPr>
    </w:p>
    <w:p w14:paraId="19362EDF">
      <w:pPr>
        <w:spacing w:before="120" w:line="360" w:lineRule="auto"/>
        <w:ind w:left="960"/>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采购项目名称</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14:paraId="7DBDF3A6">
      <w:pPr>
        <w:spacing w:before="120" w:line="360" w:lineRule="auto"/>
        <w:ind w:left="96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采购人</w:t>
      </w:r>
      <w:r>
        <w:rPr>
          <w:rFonts w:hint="eastAsia" w:ascii="宋体" w:hAnsi="宋体" w:eastAsia="宋体" w:cs="宋体"/>
          <w:b/>
          <w:bCs/>
          <w:color w:val="auto"/>
          <w:sz w:val="28"/>
          <w:szCs w:val="28"/>
          <w:lang w:eastAsia="zh-CN"/>
        </w:rPr>
        <w:t>（甲方）</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14:paraId="7C5C4B1E">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成交供应商（乙方）：</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600BFFE9">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签署地点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21347DCD">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签署日期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26E473B2">
      <w:pPr>
        <w:spacing w:before="120" w:line="360" w:lineRule="auto"/>
        <w:rPr>
          <w:rFonts w:hint="eastAsia"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4"/>
          <w:szCs w:val="24"/>
          <w:lang w:val="en-US" w:eastAsia="zh-CN"/>
        </w:rPr>
        <w:t>采购人（甲方）</w:t>
      </w:r>
      <w:r>
        <w:rPr>
          <w:rFonts w:hint="eastAsia" w:ascii="宋体" w:hAnsi="宋体" w:eastAsia="宋体" w:cs="宋体"/>
          <w:b/>
          <w:bCs/>
          <w:color w:val="auto"/>
          <w:sz w:val="24"/>
          <w:szCs w:val="24"/>
        </w:rPr>
        <w:t>：</w:t>
      </w:r>
      <w:r>
        <w:rPr>
          <w:rFonts w:hint="eastAsia" w:ascii="宋体" w:hAnsi="宋体" w:cs="宋体"/>
          <w:b/>
          <w:bCs/>
          <w:color w:val="auto"/>
          <w:sz w:val="24"/>
          <w:szCs w:val="24"/>
          <w:u w:val="single"/>
          <w:lang w:eastAsia="zh-CN"/>
        </w:rPr>
        <w:t>西安市未央区草滩街道办事处</w:t>
      </w:r>
      <w:r>
        <w:rPr>
          <w:rFonts w:hint="eastAsia" w:ascii="宋体" w:hAnsi="宋体" w:eastAsia="宋体" w:cs="宋体"/>
          <w:b/>
          <w:bCs/>
          <w:color w:val="auto"/>
          <w:sz w:val="28"/>
          <w:szCs w:val="28"/>
          <w:u w:val="single"/>
          <w:lang w:val="en-US" w:eastAsia="zh-CN"/>
        </w:rPr>
        <w:t xml:space="preserve"> </w:t>
      </w:r>
    </w:p>
    <w:p w14:paraId="6A830D69">
      <w:pPr>
        <w:keepNext w:val="0"/>
        <w:keepLines w:val="0"/>
        <w:pageBreakBefore w:val="0"/>
        <w:kinsoku w:val="0"/>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成交供应商（乙方）</w:t>
      </w:r>
      <w:r>
        <w:rPr>
          <w:rFonts w:hint="eastAsia" w:ascii="宋体" w:hAnsi="宋体" w:eastAsia="宋体" w:cs="宋体"/>
          <w:b/>
          <w:bCs/>
          <w:color w:val="auto"/>
          <w:sz w:val="24"/>
          <w:szCs w:val="24"/>
        </w:rPr>
        <w:t>：</w:t>
      </w:r>
      <w:r>
        <w:rPr>
          <w:rFonts w:hint="eastAsia" w:ascii="宋体" w:hAnsi="宋体" w:eastAsia="宋体" w:cs="宋体"/>
          <w:b/>
          <w:bCs/>
          <w:color w:val="auto"/>
          <w:sz w:val="28"/>
          <w:szCs w:val="28"/>
          <w:u w:val="single"/>
          <w:lang w:val="en-US" w:eastAsia="zh-CN"/>
        </w:rPr>
        <w:t xml:space="preserve">                      </w:t>
      </w:r>
    </w:p>
    <w:p w14:paraId="2C140A7E">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《中华人民共和国政府采购法》、《中华人民共和国政府采购法实施条例》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等法律法规，甲方通过竞争性磋商，选定乙方为成交单位。甲、乙双方在平等基础上协商一致，达成如下合同条款:</w:t>
      </w:r>
    </w:p>
    <w:p w14:paraId="6AF6EA67">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 xml:space="preserve"> 服务</w:t>
      </w:r>
      <w:r>
        <w:rPr>
          <w:rFonts w:hint="eastAsia" w:ascii="宋体" w:hAnsi="宋体" w:eastAsia="宋体" w:cs="宋体"/>
          <w:b/>
          <w:bCs/>
          <w:color w:val="auto"/>
          <w:sz w:val="24"/>
          <w:szCs w:val="24"/>
          <w:lang w:val="en-US" w:eastAsia="zh-CN"/>
        </w:rPr>
        <w:t>内容及要求</w:t>
      </w:r>
      <w:r>
        <w:rPr>
          <w:rFonts w:hint="eastAsia" w:ascii="宋体" w:hAnsi="宋体" w:eastAsia="宋体" w:cs="宋体"/>
          <w:b/>
          <w:color w:val="auto"/>
          <w:sz w:val="24"/>
          <w:szCs w:val="24"/>
        </w:rPr>
        <w:t>：</w:t>
      </w:r>
    </w:p>
    <w:p w14:paraId="5A0A62F1">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（一）服务内容（采买清单）</w:t>
      </w:r>
    </w:p>
    <w:tbl>
      <w:tblPr>
        <w:tblStyle w:val="5"/>
        <w:tblW w:w="9338" w:type="dxa"/>
        <w:tblInd w:w="-10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499"/>
        <w:gridCol w:w="3105"/>
        <w:gridCol w:w="4734"/>
      </w:tblGrid>
      <w:tr w14:paraId="4E8E1D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8" w:hRule="atLeast"/>
        </w:trPr>
        <w:tc>
          <w:tcPr>
            <w:tcW w:w="149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23766D61">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序号</w:t>
            </w:r>
          </w:p>
        </w:tc>
        <w:tc>
          <w:tcPr>
            <w:tcW w:w="31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0FA1536">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品名</w:t>
            </w:r>
          </w:p>
        </w:tc>
        <w:tc>
          <w:tcPr>
            <w:tcW w:w="47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919438F">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食材要求</w:t>
            </w:r>
          </w:p>
        </w:tc>
      </w:tr>
      <w:tr w14:paraId="48C29F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149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02BB94">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w:t>
            </w:r>
          </w:p>
        </w:tc>
        <w:tc>
          <w:tcPr>
            <w:tcW w:w="310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38D835">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蛋类</w:t>
            </w:r>
          </w:p>
        </w:tc>
        <w:tc>
          <w:tcPr>
            <w:tcW w:w="47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F67E0B5">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鲜新、大小均匀、无破损、色泽光滑，符合《食 品安全法》要求</w:t>
            </w:r>
          </w:p>
        </w:tc>
      </w:tr>
      <w:tr w14:paraId="158DEE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569" w:hRule="atLeast"/>
        </w:trPr>
        <w:tc>
          <w:tcPr>
            <w:tcW w:w="149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A1B48A2">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w:t>
            </w:r>
          </w:p>
        </w:tc>
        <w:tc>
          <w:tcPr>
            <w:tcW w:w="310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820074D">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副食类</w:t>
            </w:r>
          </w:p>
        </w:tc>
        <w:tc>
          <w:tcPr>
            <w:tcW w:w="47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A1FE5E0">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包括食糖、蜜制品、饮料、饼干、糕点糖果、 罐头、茶叶、调味品、乳制品、小食品等一些 经过加工的食品，符合《食品安全法》要求</w:t>
            </w:r>
          </w:p>
        </w:tc>
      </w:tr>
      <w:tr w14:paraId="6836B2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774" w:hRule="atLeast"/>
        </w:trPr>
        <w:tc>
          <w:tcPr>
            <w:tcW w:w="149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F6756BA">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w:t>
            </w:r>
          </w:p>
        </w:tc>
        <w:tc>
          <w:tcPr>
            <w:tcW w:w="310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996F15A">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佐料类</w:t>
            </w:r>
          </w:p>
        </w:tc>
        <w:tc>
          <w:tcPr>
            <w:tcW w:w="47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67A6F2E">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品质好，无霉变、无杂质，定型包装调味品， 色泽正常，具有该品种固有的香味，滋味无异 味，油酱均匀的酱体或无结块的粉状固体，封 口平整，外包装无污物、无泄漏，无胀袋或胖 听或鼓盖现象，无变质发霉现象。，符合《食 品安全法》要求</w:t>
            </w:r>
          </w:p>
        </w:tc>
      </w:tr>
      <w:tr w14:paraId="375595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49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87B31C2">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w:t>
            </w:r>
          </w:p>
        </w:tc>
        <w:tc>
          <w:tcPr>
            <w:tcW w:w="310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870E81E">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粮油类</w:t>
            </w:r>
          </w:p>
        </w:tc>
        <w:tc>
          <w:tcPr>
            <w:tcW w:w="47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EFFCAFF">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符合《食品安全法》要求</w:t>
            </w:r>
          </w:p>
        </w:tc>
      </w:tr>
    </w:tbl>
    <w:p w14:paraId="39B420FC">
      <w:pPr>
        <w:widowControl w:val="0"/>
        <w:autoSpaceDE w:val="0"/>
        <w:autoSpaceDN w:val="0"/>
        <w:adjustRightInd w:val="0"/>
        <w:ind w:firstLine="482" w:firstLineChars="20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（二）服务要求</w:t>
      </w:r>
    </w:p>
    <w:p w14:paraId="3656D632">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1、配送要求：</w:t>
      </w:r>
    </w:p>
    <w:p w14:paraId="5EDF1E1E">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（1）供应商须根据食堂要求提供的所有食材的具体品类、规格来供应产品，保质保量，准时准点满足食堂需求；</w:t>
      </w:r>
    </w:p>
    <w:p w14:paraId="1E62E017">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 xml:space="preserve">（2）供应商自备送货车（冷藏或恒温），安排专人及时供货，装卸费、送货费用及运输安全由供应商承担； </w:t>
      </w:r>
    </w:p>
    <w:p w14:paraId="4327D8FC">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（3）米、面、油主食类、调味品、杂粮等食材根据食堂需求用量及库存条件，原则上每周送货1次或2次；</w:t>
      </w:r>
    </w:p>
    <w:p w14:paraId="2F3E22DE">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（4）特殊情况下，食堂需要的小批量的急用物资，供应商应予以满足解决；</w:t>
      </w:r>
    </w:p>
    <w:p w14:paraId="6A1E3793">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（5）所有食材供应商必须按照采购人要求的种类、规格进行供货，满足采购人使用需求。所有食材配送服务均以采购人通知为准，采购人有权根据实际需求量随时调整采购计划及供货时间段。</w:t>
      </w:r>
    </w:p>
    <w:p w14:paraId="3C23E026">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Times New Roman"/>
          <w:b/>
          <w:bCs/>
          <w:color w:val="auto"/>
          <w:sz w:val="24"/>
          <w:szCs w:val="24"/>
          <w:lang w:val="en-US" w:eastAsia="zh-CN" w:bidi="ar-SA"/>
        </w:rPr>
      </w:pPr>
      <w:r>
        <w:rPr>
          <w:rFonts w:hint="eastAsia" w:ascii="宋体" w:hAnsi="宋体" w:eastAsia="宋体" w:cs="Times New Roman"/>
          <w:b/>
          <w:bCs/>
          <w:color w:val="auto"/>
          <w:sz w:val="24"/>
          <w:szCs w:val="24"/>
          <w:lang w:val="en-US" w:eastAsia="zh-CN" w:bidi="ar-SA"/>
        </w:rPr>
        <w:t>2、验收标准：</w:t>
      </w:r>
    </w:p>
    <w:p w14:paraId="7FEA08F9">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保管员、采购员负责入库食品检验，当班厨师长配合质量验收，验收标准如下：</w:t>
      </w:r>
    </w:p>
    <w:p w14:paraId="0EF1A8FB">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定型包装食品，应检验包装标识或者产品说明书是否标出品名、产地、厂名、生产日期、批号或者代号、规格、配方或者主要成份、保质期限、食用或者使用方法等，防止购进假冒伪劣产品，禁止“三无”产品进入食堂；</w:t>
      </w:r>
    </w:p>
    <w:p w14:paraId="4C202F8E">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（2）主要食材中的定型包装食品，如米面油类应提供批次产品卫生主管部门的检验报告；</w:t>
      </w:r>
    </w:p>
    <w:p w14:paraId="705AF924">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（3）包装污秽不洁、严重破损、运输工具不洁等造成污染的产品不得验收入库；</w:t>
      </w:r>
    </w:p>
    <w:p w14:paraId="0522E892">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0CBA4106">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（5）食堂采购员、库管员和当班厨师共同对所购食品原辅料的质量、数量进行核对验收，验收合格的及时入库，不合格产品应及时退回供应商，同时做好验收记录。食堂管理员不定时抽查；</w:t>
      </w:r>
    </w:p>
    <w:p w14:paraId="2B48B764">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（6）食材购回后，保管员和厨师共同验收，并在《原料购进验收单》上签字确认；</w:t>
      </w:r>
    </w:p>
    <w:p w14:paraId="02255CB4">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宋体"/>
          <w:color w:val="auto"/>
          <w:sz w:val="24"/>
          <w:szCs w:val="24"/>
          <w:lang w:val="en-US" w:eastAsia="zh-CN" w:bidi="ar-SA"/>
        </w:rPr>
        <w:t>（7）入库时，保管员要清点入库物品的数量、规格，做到数量、规格、品种准确无误，入库时按不同的材质、规格、功能和要求，分类、分别储存，做到账物相符。</w:t>
      </w:r>
    </w:p>
    <w:p w14:paraId="2212678D">
      <w:pPr>
        <w:keepNext w:val="0"/>
        <w:keepLines w:val="0"/>
        <w:pageBreakBefore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lang w:val="en-US" w:eastAsia="zh-CN"/>
        </w:rPr>
        <w:t>（三）服务期:</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w:t>
      </w:r>
    </w:p>
    <w:p w14:paraId="6CC6C71A">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二、合同价格</w:t>
      </w:r>
    </w:p>
    <w:p w14:paraId="66C456E3">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合同总价：人民币大写：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color w:val="auto"/>
          <w:sz w:val="24"/>
          <w:szCs w:val="24"/>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7AA88FBA">
      <w:pPr>
        <w:keepNext w:val="0"/>
        <w:keepLines w:val="0"/>
        <w:pageBreakBefore w:val="0"/>
        <w:numPr>
          <w:ilvl w:val="0"/>
          <w:numId w:val="2"/>
        </w:numPr>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lang w:val="en-US" w:eastAsia="zh-CN"/>
        </w:rPr>
        <w:t>付款方式:</w:t>
      </w:r>
    </w:p>
    <w:p w14:paraId="2C14DBDE">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1.按月根据供货单按实结算，成交供应商在接受采购人的每一笔付款前，应向</w:t>
      </w:r>
      <w:r>
        <w:rPr>
          <w:rFonts w:hint="eastAsia" w:ascii="宋体" w:hAnsi="宋体" w:cs="宋体"/>
          <w:color w:val="auto"/>
          <w:sz w:val="24"/>
          <w:szCs w:val="24"/>
          <w:u w:val="single"/>
          <w:lang w:eastAsia="zh-CN"/>
        </w:rPr>
        <w:t>采购人</w:t>
      </w:r>
      <w:r>
        <w:rPr>
          <w:rFonts w:hint="eastAsia" w:ascii="宋体" w:hAnsi="宋体" w:eastAsia="宋体" w:cs="宋体"/>
          <w:color w:val="auto"/>
          <w:sz w:val="24"/>
          <w:szCs w:val="24"/>
          <w:u w:val="single"/>
        </w:rPr>
        <w:t>开具相应金额的发票。</w:t>
      </w:r>
    </w:p>
    <w:p w14:paraId="3AFD5160">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2.货物送到甲方指定地点，验收合格后，乙方提供所供货物清单，甲方对所供货物的价格进行核实，经核实无误后在供货单上签字确认。结算时按甲方签字确认的供货单按实结算。</w:t>
      </w:r>
    </w:p>
    <w:p w14:paraId="67CC10E8">
      <w:pPr>
        <w:autoSpaceDE w:val="0"/>
        <w:autoSpaceDN w:val="0"/>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、保密条款</w:t>
      </w:r>
    </w:p>
    <w:p w14:paraId="294208FF">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在甲方工作期间获得及接触的甲方的任何形式的保密信息，乙方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不得在本协议目的之外使用，也不得向任何第三方提供这些信息和接触这些信息的手段。</w:t>
      </w:r>
    </w:p>
    <w:p w14:paraId="0D061C24">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2、乙方应管理和教育好</w:t>
      </w:r>
      <w:r>
        <w:rPr>
          <w:rFonts w:hint="eastAsia" w:ascii="宋体" w:hAnsi="宋体" w:eastAsia="宋体" w:cs="宋体"/>
          <w:color w:val="auto"/>
          <w:sz w:val="24"/>
          <w:szCs w:val="24"/>
          <w:lang w:val="en-US" w:eastAsia="zh-CN"/>
        </w:rPr>
        <w:t>拟派</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遵守甲方的保密规定。如果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违反甲方的保密要求，给甲方造成损失，甲方有权利追究乙方的责任。</w:t>
      </w:r>
    </w:p>
    <w:p w14:paraId="640F3CD2">
      <w:pPr>
        <w:keepNext w:val="0"/>
        <w:keepLines w:val="0"/>
        <w:pageBreakBefore w:val="0"/>
        <w:widowControl w:val="0"/>
        <w:wordWrap/>
        <w:overflowPunct/>
        <w:topLinePunct w:val="0"/>
        <w:autoSpaceDE/>
        <w:autoSpaceDN/>
        <w:bidi w:val="0"/>
        <w:adjustRightInd w:val="0"/>
        <w:snapToGrid w:val="0"/>
        <w:spacing w:line="360" w:lineRule="auto"/>
        <w:ind w:left="0" w:leftChars="0" w:firstLine="0" w:firstLineChars="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五、违约责任</w:t>
      </w:r>
    </w:p>
    <w:p w14:paraId="665D212A">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1、甲乙双方如因为其他原因要解除合约，应提前一个月通知对方，如有一方违反将补偿对方一个月服务费</w:t>
      </w:r>
      <w:r>
        <w:rPr>
          <w:rFonts w:hint="eastAsia" w:ascii="宋体" w:hAnsi="宋体" w:eastAsia="宋体" w:cs="宋体"/>
          <w:color w:val="auto"/>
          <w:kern w:val="0"/>
          <w:sz w:val="24"/>
          <w:szCs w:val="24"/>
          <w:shd w:val="clear" w:color="auto" w:fill="FFFFFF"/>
          <w:lang w:eastAsia="zh-CN" w:bidi="ar"/>
        </w:rPr>
        <w:t>，</w:t>
      </w:r>
      <w:r>
        <w:rPr>
          <w:rFonts w:hint="eastAsia" w:ascii="宋体" w:hAnsi="宋体" w:eastAsia="宋体" w:cs="宋体"/>
          <w:color w:val="auto"/>
          <w:kern w:val="0"/>
          <w:sz w:val="24"/>
          <w:szCs w:val="24"/>
          <w:shd w:val="clear" w:color="auto" w:fill="FFFFFF"/>
          <w:lang w:val="en-US" w:eastAsia="zh-CN" w:bidi="ar"/>
        </w:rPr>
        <w:t>同时按照相关法律法规承担相应处罚</w:t>
      </w:r>
      <w:r>
        <w:rPr>
          <w:rFonts w:hint="eastAsia" w:ascii="宋体" w:hAnsi="宋体" w:eastAsia="宋体" w:cs="宋体"/>
          <w:color w:val="auto"/>
          <w:kern w:val="0"/>
          <w:sz w:val="24"/>
          <w:szCs w:val="24"/>
          <w:shd w:val="clear" w:color="auto" w:fill="FFFFFF"/>
          <w:lang w:bidi="ar"/>
        </w:rPr>
        <w:t>。</w:t>
      </w:r>
    </w:p>
    <w:p w14:paraId="2146CBF0">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2、乙方不认真履行合同条款或因其它理由突然终止合同，视为乙方单方违约，甲方即废除同乙方合同，乙方须赔偿甲方当月服务费。</w:t>
      </w:r>
    </w:p>
    <w:p w14:paraId="781E7CB8">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3、甲方无正当理由拒付乙方服务费或无故拖欠服务费一个月以上时，乙方有权单方解除合同并撤回派驻人员。甲方须承担追加一个月服务费违约金。</w:t>
      </w:r>
    </w:p>
    <w:p w14:paraId="360E94AA">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4、乙方在工作中故意或疏忽而出现的责任事故因乙方原因造成他人人身伤害、财产损失及严重损失甲方声誉的，每出现一次，乙方除承担相关赔偿责任，甲方有权单方面解除本合同。</w:t>
      </w:r>
    </w:p>
    <w:p w14:paraId="410CFDC8">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5、乙方</w:t>
      </w:r>
      <w:r>
        <w:rPr>
          <w:rFonts w:hint="eastAsia" w:ascii="宋体" w:hAnsi="宋体" w:eastAsia="宋体" w:cs="宋体"/>
          <w:color w:val="auto"/>
          <w:kern w:val="0"/>
          <w:sz w:val="24"/>
          <w:szCs w:val="24"/>
          <w:shd w:val="clear" w:color="auto" w:fill="FFFFFF"/>
          <w:lang w:eastAsia="zh-CN" w:bidi="ar"/>
        </w:rPr>
        <w:t>人</w:t>
      </w:r>
      <w:r>
        <w:rPr>
          <w:rFonts w:hint="eastAsia" w:ascii="宋体" w:hAnsi="宋体" w:eastAsia="宋体" w:cs="宋体"/>
          <w:color w:val="auto"/>
          <w:kern w:val="0"/>
          <w:sz w:val="24"/>
          <w:szCs w:val="24"/>
          <w:shd w:val="clear" w:color="auto" w:fill="FFFFFF"/>
          <w:lang w:bidi="ar"/>
        </w:rPr>
        <w:t>员违反合同所约定之义务，影响合同约定区域的安全或导致甲方其他方面损害，经甲方</w:t>
      </w:r>
      <w:r>
        <w:rPr>
          <w:rFonts w:hint="eastAsia" w:ascii="宋体" w:hAnsi="宋体" w:eastAsia="宋体" w:cs="宋体"/>
          <w:color w:val="auto"/>
          <w:kern w:val="0"/>
          <w:sz w:val="24"/>
          <w:szCs w:val="24"/>
          <w:shd w:val="clear" w:color="auto" w:fill="FFFFFF"/>
          <w:lang w:eastAsia="zh-CN" w:bidi="ar"/>
        </w:rPr>
        <w:t>书面</w:t>
      </w:r>
      <w:r>
        <w:rPr>
          <w:rFonts w:hint="eastAsia" w:ascii="宋体" w:hAnsi="宋体" w:eastAsia="宋体" w:cs="宋体"/>
          <w:color w:val="auto"/>
          <w:kern w:val="0"/>
          <w:sz w:val="24"/>
          <w:szCs w:val="24"/>
          <w:shd w:val="clear" w:color="auto" w:fill="FFFFFF"/>
          <w:lang w:bidi="ar"/>
        </w:rPr>
        <w:t>警告仍无整改，甲方有权单方面终止合同，而无须承担任何责任。</w:t>
      </w:r>
    </w:p>
    <w:p w14:paraId="7001086F">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、合同争议的解决</w:t>
      </w:r>
    </w:p>
    <w:p w14:paraId="3FE6B5CF">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合同一经签订，不得随意变更、中止或终止。对确需变更、调整或者中止、终止合同的，应按规定履行相应的手续。</w:t>
      </w:r>
    </w:p>
    <w:p w14:paraId="70F52C5B">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合同执行中发生争议的，甲、乙双方应协商解决，协商达不成一致时，可向甲方所在地人民法院提请诉讼。</w:t>
      </w:r>
    </w:p>
    <w:p w14:paraId="2AAE4129">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、其它事项</w:t>
      </w:r>
    </w:p>
    <w:p w14:paraId="276A6AE1">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1、甲、乙双方作为合同执行的主体，有义务及时完全履行合同。</w:t>
      </w:r>
    </w:p>
    <w:p w14:paraId="1C0C1BC0">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、合同未尽事宜，由甲、乙双方协商签订补充协议，作为本合同不可分割的组成部分，与本合同具有同等法律效力。</w:t>
      </w:r>
    </w:p>
    <w:p w14:paraId="2E25897D">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、磋商文件和乙方的磋商响应文件以及合同附件均为合同不可分割的部分。</w:t>
      </w:r>
    </w:p>
    <w:p w14:paraId="0CDB7A0F">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份。双方签字盖章后生效，合同执行完毕自动失效。</w:t>
      </w:r>
    </w:p>
    <w:tbl>
      <w:tblPr>
        <w:tblStyle w:val="5"/>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68D6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shd w:val="clear" w:color="auto" w:fill="D8D8D8"/>
            <w:noWrap w:val="0"/>
            <w:vAlign w:val="bottom"/>
          </w:tcPr>
          <w:p w14:paraId="2EC8F19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甲</w:t>
            </w:r>
            <w:r>
              <w:rPr>
                <w:rFonts w:hint="eastAsia" w:ascii="宋体" w:hAnsi="宋体" w:eastAsia="宋体" w:cs="宋体"/>
                <w:b/>
                <w:color w:val="auto"/>
                <w:sz w:val="24"/>
                <w:szCs w:val="24"/>
                <w:highlight w:val="none"/>
              </w:rPr>
              <w:t xml:space="preserve"> 方</w:t>
            </w:r>
          </w:p>
        </w:tc>
        <w:tc>
          <w:tcPr>
            <w:tcW w:w="4345" w:type="dxa"/>
            <w:tcBorders>
              <w:tl2br w:val="nil"/>
              <w:tr2bl w:val="nil"/>
            </w:tcBorders>
            <w:shd w:val="clear" w:color="auto" w:fill="D8D8D8"/>
            <w:noWrap w:val="0"/>
            <w:vAlign w:val="bottom"/>
          </w:tcPr>
          <w:p w14:paraId="6607BF5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乙</w:t>
            </w:r>
            <w:r>
              <w:rPr>
                <w:rFonts w:hint="eastAsia" w:ascii="宋体" w:hAnsi="宋体" w:eastAsia="宋体" w:cs="宋体"/>
                <w:b/>
                <w:color w:val="auto"/>
                <w:sz w:val="24"/>
                <w:szCs w:val="24"/>
                <w:highlight w:val="none"/>
              </w:rPr>
              <w:t xml:space="preserve">  方</w:t>
            </w:r>
          </w:p>
        </w:tc>
      </w:tr>
      <w:tr w14:paraId="0B01A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589161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（公章）</w:t>
            </w:r>
          </w:p>
        </w:tc>
        <w:tc>
          <w:tcPr>
            <w:tcW w:w="4345" w:type="dxa"/>
            <w:tcBorders>
              <w:tl2br w:val="nil"/>
              <w:tr2bl w:val="nil"/>
            </w:tcBorders>
            <w:noWrap w:val="0"/>
            <w:vAlign w:val="center"/>
          </w:tcPr>
          <w:p w14:paraId="5AA0E1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（公章）</w:t>
            </w:r>
          </w:p>
        </w:tc>
      </w:tr>
      <w:tr w14:paraId="1AD3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059F87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345" w:type="dxa"/>
            <w:tcBorders>
              <w:tl2br w:val="nil"/>
              <w:tr2bl w:val="nil"/>
            </w:tcBorders>
            <w:noWrap w:val="0"/>
            <w:vAlign w:val="center"/>
          </w:tcPr>
          <w:p w14:paraId="6F82B0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4C0BF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1833DA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345" w:type="dxa"/>
            <w:tcBorders>
              <w:tl2br w:val="nil"/>
              <w:tr2bl w:val="nil"/>
            </w:tcBorders>
            <w:noWrap w:val="0"/>
            <w:vAlign w:val="center"/>
          </w:tcPr>
          <w:p w14:paraId="078082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751E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0AA2252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345" w:type="dxa"/>
            <w:tcBorders>
              <w:tl2br w:val="nil"/>
              <w:tr2bl w:val="nil"/>
            </w:tcBorders>
            <w:noWrap w:val="0"/>
            <w:vAlign w:val="center"/>
          </w:tcPr>
          <w:p w14:paraId="1616D7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2FD0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673A75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c>
          <w:tcPr>
            <w:tcW w:w="4345" w:type="dxa"/>
            <w:tcBorders>
              <w:tl2br w:val="nil"/>
              <w:tr2bl w:val="nil"/>
            </w:tcBorders>
            <w:noWrap w:val="0"/>
            <w:vAlign w:val="center"/>
          </w:tcPr>
          <w:p w14:paraId="4DC8CC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r>
      <w:tr w14:paraId="4217C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406AEE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345" w:type="dxa"/>
            <w:tcBorders>
              <w:tl2br w:val="nil"/>
              <w:tr2bl w:val="nil"/>
            </w:tcBorders>
            <w:noWrap w:val="0"/>
            <w:vAlign w:val="center"/>
          </w:tcPr>
          <w:p w14:paraId="4C05F3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2B2AB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351A8D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345" w:type="dxa"/>
            <w:tcBorders>
              <w:tl2br w:val="nil"/>
              <w:tr2bl w:val="nil"/>
            </w:tcBorders>
            <w:noWrap w:val="0"/>
            <w:vAlign w:val="center"/>
          </w:tcPr>
          <w:p w14:paraId="13DF32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137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01CF75E1">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14:paraId="0B2C61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1CED6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1EF3E05C">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14:paraId="2B9FE4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14:paraId="5CD6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31AC4C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tc>
        <w:tc>
          <w:tcPr>
            <w:tcW w:w="4345" w:type="dxa"/>
            <w:tcBorders>
              <w:tl2br w:val="nil"/>
              <w:tr2bl w:val="nil"/>
            </w:tcBorders>
            <w:noWrap w:val="0"/>
            <w:vAlign w:val="center"/>
          </w:tcPr>
          <w:p w14:paraId="29B24F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14:paraId="1536755F">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p>
    <w:p w14:paraId="42D83C3F">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auto"/>
          <w:sz w:val="24"/>
          <w:szCs w:val="24"/>
        </w:rPr>
      </w:pPr>
    </w:p>
    <w:p w14:paraId="54BF027B">
      <w:pPr>
        <w:rPr>
          <w:rFonts w:ascii="Times New Roman" w:hAnsi="Times New Roman" w:eastAsia="宋体" w:cs="Times New Roman"/>
        </w:rPr>
      </w:pPr>
    </w:p>
    <w:p w14:paraId="6DF39F7B">
      <w:r>
        <w:br w:type="page"/>
      </w:r>
    </w:p>
    <w:p w14:paraId="650CCF2B">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cs="宋体"/>
          <w:b/>
          <w:bCs/>
          <w:color w:val="auto"/>
          <w:sz w:val="32"/>
          <w:szCs w:val="32"/>
          <w:highlight w:val="none"/>
          <w:lang w:val="zh-CN"/>
        </w:rPr>
        <w:t>（</w:t>
      </w:r>
      <w:r>
        <w:rPr>
          <w:rFonts w:hint="eastAsia" w:ascii="宋体" w:hAnsi="宋体" w:cs="宋体"/>
          <w:b/>
          <w:bCs/>
          <w:color w:val="auto"/>
          <w:sz w:val="32"/>
          <w:szCs w:val="32"/>
          <w:highlight w:val="none"/>
          <w:lang w:val="en-US" w:eastAsia="zh-CN"/>
        </w:rPr>
        <w:t>三包</w:t>
      </w:r>
      <w:r>
        <w:rPr>
          <w:rFonts w:hint="eastAsia" w:ascii="宋体" w:hAnsi="宋体" w:cs="宋体"/>
          <w:b/>
          <w:bCs/>
          <w:color w:val="auto"/>
          <w:sz w:val="32"/>
          <w:szCs w:val="32"/>
          <w:highlight w:val="none"/>
          <w:lang w:val="zh-CN"/>
        </w:rPr>
        <w:t>）</w:t>
      </w:r>
      <w:r>
        <w:rPr>
          <w:rFonts w:hint="eastAsia" w:ascii="宋体" w:hAnsi="宋体" w:eastAsia="宋体" w:cs="宋体"/>
          <w:b/>
          <w:bCs/>
          <w:color w:val="auto"/>
          <w:sz w:val="32"/>
          <w:szCs w:val="32"/>
          <w:highlight w:val="none"/>
          <w:lang w:val="zh-CN"/>
        </w:rPr>
        <w:t>合同格式</w:t>
      </w:r>
    </w:p>
    <w:p w14:paraId="249C2898">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2CBC3CB9">
      <w:pPr>
        <w:spacing w:before="120" w:line="360" w:lineRule="auto"/>
        <w:jc w:val="center"/>
        <w:rPr>
          <w:rFonts w:hint="eastAsia" w:ascii="宋体" w:hAnsi="宋体" w:eastAsia="宋体" w:cs="宋体"/>
          <w:b/>
          <w:bCs/>
          <w:color w:val="auto"/>
          <w:sz w:val="36"/>
          <w:szCs w:val="36"/>
        </w:rPr>
      </w:pPr>
    </w:p>
    <w:p w14:paraId="7AE6864B">
      <w:pPr>
        <w:spacing w:before="120" w:line="360" w:lineRule="auto"/>
        <w:jc w:val="center"/>
        <w:rPr>
          <w:rFonts w:hint="eastAsia" w:ascii="宋体" w:hAnsi="宋体" w:eastAsia="宋体" w:cs="宋体"/>
          <w:b/>
          <w:bCs/>
          <w:color w:val="auto"/>
          <w:sz w:val="36"/>
          <w:szCs w:val="36"/>
        </w:rPr>
      </w:pPr>
    </w:p>
    <w:p w14:paraId="2C5173AF">
      <w:pPr>
        <w:spacing w:before="120" w:line="360" w:lineRule="auto"/>
        <w:jc w:val="center"/>
        <w:rPr>
          <w:rFonts w:hint="eastAsia" w:ascii="宋体" w:hAnsi="宋体" w:eastAsia="宋体" w:cs="宋体"/>
          <w:b/>
          <w:bCs/>
          <w:color w:val="auto"/>
          <w:sz w:val="36"/>
          <w:szCs w:val="36"/>
        </w:rPr>
      </w:pPr>
    </w:p>
    <w:p w14:paraId="36A755E9">
      <w:pPr>
        <w:spacing w:before="120" w:line="360" w:lineRule="auto"/>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政 府 采 购 合 同</w:t>
      </w:r>
    </w:p>
    <w:p w14:paraId="6B7CABD0">
      <w:pPr>
        <w:spacing w:before="120" w:line="360" w:lineRule="auto"/>
        <w:jc w:val="center"/>
        <w:rPr>
          <w:rFonts w:hint="eastAsia" w:ascii="宋体" w:hAnsi="宋体" w:eastAsia="宋体" w:cs="宋体"/>
          <w:color w:val="auto"/>
          <w:sz w:val="28"/>
          <w:szCs w:val="28"/>
        </w:rPr>
      </w:pPr>
    </w:p>
    <w:p w14:paraId="577DF558">
      <w:pPr>
        <w:spacing w:before="120" w:line="360" w:lineRule="auto"/>
        <w:ind w:firstLine="3064" w:firstLineChars="1090"/>
        <w:rPr>
          <w:rFonts w:hint="eastAsia" w:ascii="宋体" w:hAnsi="宋体" w:eastAsia="宋体" w:cs="宋体"/>
          <w:color w:val="auto"/>
          <w:sz w:val="28"/>
          <w:szCs w:val="28"/>
        </w:rPr>
      </w:pPr>
      <w:r>
        <w:rPr>
          <w:rFonts w:hint="eastAsia" w:ascii="宋体" w:hAnsi="宋体" w:eastAsia="宋体" w:cs="宋体"/>
          <w:b/>
          <w:bCs/>
          <w:color w:val="auto"/>
          <w:sz w:val="28"/>
          <w:szCs w:val="28"/>
        </w:rPr>
        <w:t>合同编号：</w:t>
      </w:r>
      <w:r>
        <w:rPr>
          <w:rFonts w:hint="eastAsia" w:ascii="宋体" w:hAnsi="宋体" w:eastAsia="宋体" w:cs="宋体"/>
          <w:b/>
          <w:bCs/>
          <w:color w:val="auto"/>
          <w:sz w:val="28"/>
          <w:szCs w:val="28"/>
          <w:u w:val="single"/>
        </w:rPr>
        <w:t xml:space="preserve">            </w:t>
      </w:r>
      <w:r>
        <w:rPr>
          <w:rFonts w:hint="eastAsia" w:ascii="宋体" w:hAnsi="宋体" w:eastAsia="宋体" w:cs="宋体"/>
          <w:color w:val="auto"/>
          <w:sz w:val="28"/>
          <w:szCs w:val="28"/>
        </w:rPr>
        <w:t xml:space="preserve">        </w:t>
      </w:r>
    </w:p>
    <w:p w14:paraId="7F0C7659">
      <w:pPr>
        <w:widowControl w:val="0"/>
        <w:spacing w:before="120" w:line="360" w:lineRule="auto"/>
        <w:ind w:firstLine="0"/>
        <w:jc w:val="both"/>
        <w:rPr>
          <w:rFonts w:hint="eastAsia" w:ascii="宋体" w:hAnsi="宋体" w:eastAsia="宋体" w:cs="宋体"/>
          <w:color w:val="auto"/>
          <w:kern w:val="2"/>
          <w:sz w:val="28"/>
          <w:szCs w:val="28"/>
          <w:lang w:val="en-US" w:eastAsia="zh-CN" w:bidi="ar-SA"/>
        </w:rPr>
      </w:pPr>
    </w:p>
    <w:p w14:paraId="69CB024B">
      <w:pPr>
        <w:spacing w:before="120" w:line="360" w:lineRule="auto"/>
        <w:rPr>
          <w:rFonts w:hint="eastAsia" w:ascii="宋体" w:hAnsi="宋体" w:eastAsia="宋体" w:cs="宋体"/>
          <w:b/>
          <w:bCs/>
          <w:color w:val="auto"/>
          <w:sz w:val="28"/>
          <w:szCs w:val="28"/>
        </w:rPr>
      </w:pPr>
    </w:p>
    <w:p w14:paraId="215509E2">
      <w:pPr>
        <w:widowControl w:val="0"/>
        <w:jc w:val="left"/>
        <w:rPr>
          <w:rFonts w:hint="eastAsia" w:ascii="宋体" w:hAnsi="宋体" w:eastAsia="宋体" w:cs="宋体"/>
          <w:b/>
          <w:bCs/>
          <w:color w:val="auto"/>
          <w:kern w:val="2"/>
          <w:sz w:val="28"/>
          <w:szCs w:val="28"/>
          <w:lang w:val="en-US" w:eastAsia="zh-CN" w:bidi="ar-SA"/>
        </w:rPr>
      </w:pPr>
    </w:p>
    <w:p w14:paraId="4EE9E931">
      <w:pPr>
        <w:rPr>
          <w:rFonts w:hint="eastAsia" w:ascii="宋体" w:hAnsi="宋体" w:eastAsia="宋体" w:cs="宋体"/>
          <w:b/>
          <w:bCs/>
          <w:color w:val="auto"/>
          <w:sz w:val="28"/>
          <w:szCs w:val="28"/>
        </w:rPr>
      </w:pPr>
    </w:p>
    <w:p w14:paraId="662C7557">
      <w:pPr>
        <w:widowControl w:val="0"/>
        <w:jc w:val="left"/>
        <w:rPr>
          <w:rFonts w:hint="eastAsia" w:ascii="Copperplate Gothic Bold" w:hAnsi="Copperplate Gothic Bold" w:eastAsia="宋体" w:cs="Times New Roman"/>
          <w:color w:val="auto"/>
          <w:kern w:val="2"/>
          <w:sz w:val="28"/>
          <w:lang w:val="en-US" w:eastAsia="zh-CN" w:bidi="ar-SA"/>
        </w:rPr>
      </w:pPr>
    </w:p>
    <w:p w14:paraId="0F713703">
      <w:pPr>
        <w:spacing w:before="120" w:line="360" w:lineRule="auto"/>
        <w:ind w:left="960"/>
        <w:rPr>
          <w:rFonts w:hint="eastAsia" w:ascii="宋体" w:hAnsi="宋体" w:eastAsia="宋体" w:cs="宋体"/>
          <w:b/>
          <w:bCs/>
          <w:color w:val="auto"/>
          <w:sz w:val="28"/>
          <w:szCs w:val="28"/>
          <w:u w:val="single"/>
        </w:rPr>
      </w:pPr>
      <w:r>
        <w:rPr>
          <w:rFonts w:hint="eastAsia" w:ascii="宋体" w:hAnsi="宋体" w:eastAsia="宋体" w:cs="宋体"/>
          <w:b/>
          <w:bCs/>
          <w:color w:val="auto"/>
          <w:sz w:val="28"/>
          <w:szCs w:val="28"/>
        </w:rPr>
        <w:t>采购项目名称</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14:paraId="10C261B4">
      <w:pPr>
        <w:spacing w:before="120" w:line="360" w:lineRule="auto"/>
        <w:ind w:left="96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采购人</w:t>
      </w:r>
      <w:r>
        <w:rPr>
          <w:rFonts w:hint="eastAsia" w:ascii="宋体" w:hAnsi="宋体" w:eastAsia="宋体" w:cs="宋体"/>
          <w:b/>
          <w:bCs/>
          <w:color w:val="auto"/>
          <w:sz w:val="28"/>
          <w:szCs w:val="28"/>
          <w:lang w:eastAsia="zh-CN"/>
        </w:rPr>
        <w:t>（甲方）</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p>
    <w:p w14:paraId="4BFB47C0">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成交供应商（乙方）：</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784EC6FF">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签署地点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3A32C9D6">
      <w:pPr>
        <w:spacing w:before="120" w:line="360" w:lineRule="auto"/>
        <w:ind w:left="960"/>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签署日期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14:paraId="3C3852F3">
      <w:pPr>
        <w:spacing w:before="120" w:line="360" w:lineRule="auto"/>
        <w:rPr>
          <w:rFonts w:hint="eastAsia"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br w:type="page"/>
      </w:r>
      <w:r>
        <w:rPr>
          <w:rFonts w:hint="eastAsia" w:ascii="宋体" w:hAnsi="宋体" w:eastAsia="宋体" w:cs="宋体"/>
          <w:b/>
          <w:bCs/>
          <w:color w:val="auto"/>
          <w:sz w:val="24"/>
          <w:szCs w:val="24"/>
          <w:lang w:val="en-US" w:eastAsia="zh-CN"/>
        </w:rPr>
        <w:t>采购人（甲方）</w:t>
      </w:r>
      <w:r>
        <w:rPr>
          <w:rFonts w:hint="eastAsia" w:ascii="宋体" w:hAnsi="宋体" w:eastAsia="宋体" w:cs="宋体"/>
          <w:b/>
          <w:bCs/>
          <w:color w:val="auto"/>
          <w:sz w:val="24"/>
          <w:szCs w:val="24"/>
        </w:rPr>
        <w:t>：</w:t>
      </w:r>
      <w:r>
        <w:rPr>
          <w:rFonts w:hint="eastAsia" w:ascii="宋体" w:hAnsi="宋体" w:cs="宋体"/>
          <w:b/>
          <w:bCs/>
          <w:color w:val="auto"/>
          <w:sz w:val="24"/>
          <w:szCs w:val="24"/>
          <w:u w:val="single"/>
          <w:lang w:eastAsia="zh-CN"/>
        </w:rPr>
        <w:t>西安市未央区草滩街道办事处</w:t>
      </w:r>
      <w:r>
        <w:rPr>
          <w:rFonts w:hint="eastAsia" w:ascii="宋体" w:hAnsi="宋体" w:eastAsia="宋体" w:cs="宋体"/>
          <w:b/>
          <w:bCs/>
          <w:color w:val="auto"/>
          <w:sz w:val="28"/>
          <w:szCs w:val="28"/>
          <w:u w:val="single"/>
          <w:lang w:val="en-US" w:eastAsia="zh-CN"/>
        </w:rPr>
        <w:t xml:space="preserve"> </w:t>
      </w:r>
    </w:p>
    <w:p w14:paraId="070DDBE3">
      <w:pPr>
        <w:keepNext w:val="0"/>
        <w:keepLines w:val="0"/>
        <w:pageBreakBefore w:val="0"/>
        <w:kinsoku w:val="0"/>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成交供应商（乙方）</w:t>
      </w:r>
      <w:r>
        <w:rPr>
          <w:rFonts w:hint="eastAsia" w:ascii="宋体" w:hAnsi="宋体" w:eastAsia="宋体" w:cs="宋体"/>
          <w:b/>
          <w:bCs/>
          <w:color w:val="auto"/>
          <w:sz w:val="24"/>
          <w:szCs w:val="24"/>
        </w:rPr>
        <w:t>：</w:t>
      </w:r>
      <w:r>
        <w:rPr>
          <w:rFonts w:hint="eastAsia" w:ascii="宋体" w:hAnsi="宋体" w:eastAsia="宋体" w:cs="宋体"/>
          <w:b/>
          <w:bCs/>
          <w:color w:val="auto"/>
          <w:sz w:val="28"/>
          <w:szCs w:val="28"/>
          <w:u w:val="single"/>
          <w:lang w:val="en-US" w:eastAsia="zh-CN"/>
        </w:rPr>
        <w:t xml:space="preserve">                      </w:t>
      </w:r>
    </w:p>
    <w:p w14:paraId="2F5ABFC5">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《中华人民共和国政府采购法》、《中华人民共和国政府采购法实施条例》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等法律法规，甲方通过竞争性磋商，选定乙方为成交单位。甲、乙双方在平等基础上协商一致，达成如下合同条款:</w:t>
      </w:r>
    </w:p>
    <w:p w14:paraId="72D5BFD2">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 xml:space="preserve"> 服务</w:t>
      </w:r>
      <w:r>
        <w:rPr>
          <w:rFonts w:hint="eastAsia" w:ascii="宋体" w:hAnsi="宋体" w:eastAsia="宋体" w:cs="宋体"/>
          <w:b/>
          <w:bCs/>
          <w:color w:val="auto"/>
          <w:sz w:val="24"/>
          <w:szCs w:val="24"/>
          <w:lang w:val="en-US" w:eastAsia="zh-CN"/>
        </w:rPr>
        <w:t>内容及要求</w:t>
      </w:r>
      <w:r>
        <w:rPr>
          <w:rFonts w:hint="eastAsia" w:ascii="宋体" w:hAnsi="宋体" w:eastAsia="宋体" w:cs="宋体"/>
          <w:b/>
          <w:color w:val="auto"/>
          <w:sz w:val="24"/>
          <w:szCs w:val="24"/>
        </w:rPr>
        <w:t>：</w:t>
      </w:r>
    </w:p>
    <w:p w14:paraId="05B91EF2">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（一）服务内容（采买清单）</w:t>
      </w:r>
    </w:p>
    <w:tbl>
      <w:tblPr>
        <w:tblStyle w:val="5"/>
        <w:tblW w:w="7799"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75"/>
        <w:gridCol w:w="2449"/>
        <w:gridCol w:w="3575"/>
      </w:tblGrid>
      <w:tr w14:paraId="28547F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177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C5003BB">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序号</w:t>
            </w:r>
          </w:p>
        </w:tc>
        <w:tc>
          <w:tcPr>
            <w:tcW w:w="244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8BE152C">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品名</w:t>
            </w:r>
          </w:p>
        </w:tc>
        <w:tc>
          <w:tcPr>
            <w:tcW w:w="357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CAE70F0">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食材要求</w:t>
            </w:r>
          </w:p>
        </w:tc>
      </w:tr>
      <w:tr w14:paraId="176B8C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473" w:hRule="atLeast"/>
          <w:jc w:val="center"/>
        </w:trPr>
        <w:tc>
          <w:tcPr>
            <w:tcW w:w="17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3277F9F">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p>
        </w:tc>
        <w:tc>
          <w:tcPr>
            <w:tcW w:w="244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9AB2997">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肉食类</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C6A66C3">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肉品须表皮洁净、膘厚适中、色泽鲜亮、纹理 清晰、肉质细腻、无异味、去骨、无毛、按压 无水迹，符合《食品安全法》要求</w:t>
            </w:r>
          </w:p>
        </w:tc>
      </w:tr>
      <w:tr w14:paraId="4D3201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584" w:hRule="atLeast"/>
          <w:jc w:val="center"/>
        </w:trPr>
        <w:tc>
          <w:tcPr>
            <w:tcW w:w="17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CA7F1F3">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p>
        </w:tc>
        <w:tc>
          <w:tcPr>
            <w:tcW w:w="244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4E21BB5">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水产类</w:t>
            </w:r>
          </w:p>
        </w:tc>
        <w:tc>
          <w:tcPr>
            <w:tcW w:w="357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B69FF54">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鱼类要求体表光滑无病灶，有鲜鱼鳞片完整， 无鳞鱼无浑浊粘液，肉质干燥，紧密，呈白色 或淡黄色眼球外突饱满透明，鳃丝清晰鲜红或 暗红，保持活体状态固有本色，无异味，鱼类 肌肉紧密有弹性，内脏清晰可辨无腐烂，符合 《食品安全法》要求</w:t>
            </w:r>
          </w:p>
        </w:tc>
      </w:tr>
      <w:tr w14:paraId="46B673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494" w:hRule="atLeast"/>
          <w:jc w:val="center"/>
        </w:trPr>
        <w:tc>
          <w:tcPr>
            <w:tcW w:w="177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5C09D8F">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w:t>
            </w:r>
          </w:p>
        </w:tc>
        <w:tc>
          <w:tcPr>
            <w:tcW w:w="244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D304235">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家禽类</w:t>
            </w:r>
          </w:p>
        </w:tc>
        <w:tc>
          <w:tcPr>
            <w:tcW w:w="357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CB1D7E7">
            <w:pPr>
              <w:pStyle w:val="9"/>
              <w:keepNext w:val="0"/>
              <w:keepLines w:val="0"/>
              <w:pageBreakBefore w:val="0"/>
              <w:widowControl/>
              <w:kinsoku/>
              <w:wordWrap/>
              <w:overflowPunct/>
              <w:topLinePunct w:val="0"/>
              <w:autoSpaceDE/>
              <w:autoSpaceDN/>
              <w:bidi w:val="0"/>
              <w:adjustRightInd/>
              <w:snapToGrid/>
              <w:ind w:firstLine="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肉品须表皮洁净、膘厚适中、色泽鲜亮、纹理 清晰、肉质细腻、无异味、去骨、无毛、按压 无水迹，符合《食品安全法》要求</w:t>
            </w:r>
          </w:p>
        </w:tc>
      </w:tr>
    </w:tbl>
    <w:p w14:paraId="07EA7B27">
      <w:pPr>
        <w:pageBreakBefore w:val="0"/>
        <w:widowControl w:val="0"/>
        <w:tabs>
          <w:tab w:val="left" w:pos="1342"/>
        </w:tabs>
        <w:kinsoku/>
        <w:wordWrap/>
        <w:overflowPunct/>
        <w:topLinePunct w:val="0"/>
        <w:bidi w:val="0"/>
        <w:snapToGrid/>
        <w:spacing w:after="0" w:line="360" w:lineRule="auto"/>
        <w:ind w:left="0" w:firstLine="270" w:firstLineChars="135"/>
        <w:jc w:val="left"/>
        <w:textAlignment w:val="auto"/>
        <w:rPr>
          <w:rFonts w:hint="eastAsia" w:ascii="宋体" w:hAnsi="宋体" w:eastAsia="宋体" w:cs="宋体"/>
          <w:b w:val="0"/>
          <w:bCs/>
          <w:color w:val="auto"/>
          <w:kern w:val="0"/>
          <w:sz w:val="20"/>
          <w:szCs w:val="20"/>
          <w:lang w:val="zh-TW" w:eastAsia="zh-CN" w:bidi="zh-TW"/>
        </w:rPr>
      </w:pPr>
      <w:r>
        <w:rPr>
          <w:rFonts w:hint="eastAsia" w:ascii="宋体" w:hAnsi="宋体" w:eastAsia="宋体" w:cs="宋体"/>
          <w:b w:val="0"/>
          <w:bCs/>
          <w:color w:val="auto"/>
          <w:kern w:val="0"/>
          <w:sz w:val="20"/>
          <w:szCs w:val="20"/>
          <w:lang w:val="zh-TW" w:eastAsia="zh-CN" w:bidi="zh-TW"/>
        </w:rPr>
        <w:t>注：采购人具体采购品种包含但不限于以上品种。若采购清单上有部分货物因为季节或其他特殊原因无法提供，经采购人同意后方可调换其他品种。结算也以实际供货验收单为准。</w:t>
      </w:r>
    </w:p>
    <w:p w14:paraId="54F0E34B">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（二）配送要求：</w:t>
      </w:r>
    </w:p>
    <w:p w14:paraId="73C8B33F">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（1）供应商须根据食堂要求提供的所有食材的具体品类、规格来供应产品，保质保量，准时准点满足食堂需求；</w:t>
      </w:r>
    </w:p>
    <w:p w14:paraId="25FD5E3E">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 xml:space="preserve">（2）供应商自备送货车（冷藏或恒温），安排专人及时供货，装卸费、送货费用及运输安全由供应商承担； </w:t>
      </w:r>
    </w:p>
    <w:p w14:paraId="71160B06">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（3）肉类原则上要求每天送货1次，确保食材的新鲜；</w:t>
      </w:r>
    </w:p>
    <w:p w14:paraId="7EBF0E3E">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（4）特殊情况下，食堂需要的急用物资，供应商应予以满足解决；</w:t>
      </w:r>
    </w:p>
    <w:p w14:paraId="0B1D4EA9">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2"/>
          <w:szCs w:val="22"/>
          <w:lang w:val="en-US" w:eastAsia="zh-CN" w:bidi="ar-SA"/>
        </w:rPr>
      </w:pPr>
      <w:r>
        <w:rPr>
          <w:rFonts w:hint="eastAsia" w:ascii="宋体" w:hAnsi="宋体" w:eastAsia="宋体" w:cs="Times New Roman"/>
          <w:color w:val="auto"/>
          <w:sz w:val="24"/>
          <w:szCs w:val="24"/>
          <w:lang w:val="en-US" w:eastAsia="zh-CN" w:bidi="ar-SA"/>
        </w:rPr>
        <w:t>（5）所有食材供应商必须按照采购人要求的种类、规格进行供货，满足采购人使用需求。所有食材配送服务均以采购人通知为准，采购人有权根据实际需求量随时调整采购计划及供货时间段。</w:t>
      </w:r>
    </w:p>
    <w:p w14:paraId="60D6AA38">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2" w:firstLineChars="200"/>
        <w:textAlignment w:val="auto"/>
        <w:outlineLvl w:val="2"/>
        <w:rPr>
          <w:rFonts w:hint="eastAsia" w:ascii="黑体" w:hAnsi="Times New Roman" w:eastAsia="黑体" w:cs="Times New Roman"/>
          <w:sz w:val="21"/>
          <w:szCs w:val="21"/>
          <w:lang w:val="en-US" w:eastAsia="zh-CN" w:bidi="ar-SA"/>
        </w:rPr>
      </w:pPr>
      <w:r>
        <w:rPr>
          <w:rFonts w:hint="eastAsia" w:ascii="宋体" w:hAnsi="宋体" w:eastAsia="宋体" w:cs="Times New Roman"/>
          <w:b/>
          <w:bCs/>
          <w:color w:val="auto"/>
          <w:sz w:val="24"/>
          <w:szCs w:val="24"/>
          <w:lang w:val="en-US" w:eastAsia="zh-CN" w:bidi="ar-SA"/>
        </w:rPr>
        <w:t>（三）验收标准：</w:t>
      </w:r>
    </w:p>
    <w:p w14:paraId="4D11A9E3">
      <w:pPr>
        <w:keepNext w:val="0"/>
        <w:keepLines w:val="0"/>
        <w:pageBreakBefore w:val="0"/>
        <w:numPr>
          <w:ilvl w:val="0"/>
          <w:numId w:val="0"/>
        </w:numPr>
        <w:kinsoku/>
        <w:wordWrap/>
        <w:overflowPunct/>
        <w:topLinePunct w:val="0"/>
        <w:autoSpaceDE/>
        <w:autoSpaceDN/>
        <w:bidi w:val="0"/>
        <w:adjustRightInd/>
        <w:snapToGrid/>
        <w:spacing w:before="0" w:beforeLines="0" w:after="0" w:afterLines="0" w:line="360" w:lineRule="auto"/>
        <w:ind w:firstLine="480" w:firstLineChars="200"/>
        <w:textAlignment w:val="auto"/>
        <w:outlineLvl w:val="2"/>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保管员、采购员负责入库食品检验，当班厨师长配合质量验收，验收标准如下：</w:t>
      </w:r>
    </w:p>
    <w:p w14:paraId="323EBABC">
      <w:pPr>
        <w:keepNext w:val="0"/>
        <w:keepLines w:val="0"/>
        <w:pageBreakBefore w:val="0"/>
        <w:numPr>
          <w:ilvl w:val="0"/>
          <w:numId w:val="3"/>
        </w:numPr>
        <w:tabs>
          <w:tab w:val="left" w:pos="420"/>
          <w:tab w:val="left" w:pos="839"/>
        </w:tabs>
        <w:kinsoku/>
        <w:wordWrap/>
        <w:overflowPunct/>
        <w:topLinePunct w:val="0"/>
        <w:autoSpaceDE/>
        <w:autoSpaceDN/>
        <w:bidi w:val="0"/>
        <w:adjustRightInd/>
        <w:snapToGrid/>
        <w:spacing w:line="360" w:lineRule="auto"/>
        <w:ind w:left="357" w:leftChars="170" w:firstLine="0" w:firstLineChars="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24DC7F6D">
      <w:pPr>
        <w:keepNext w:val="0"/>
        <w:keepLines w:val="0"/>
        <w:pageBreakBefore w:val="0"/>
        <w:numPr>
          <w:ilvl w:val="0"/>
          <w:numId w:val="3"/>
        </w:numPr>
        <w:tabs>
          <w:tab w:val="left" w:pos="420"/>
          <w:tab w:val="left" w:pos="839"/>
        </w:tabs>
        <w:kinsoku/>
        <w:wordWrap/>
        <w:overflowPunct/>
        <w:topLinePunct w:val="0"/>
        <w:autoSpaceDE/>
        <w:autoSpaceDN/>
        <w:bidi w:val="0"/>
        <w:adjustRightInd/>
        <w:snapToGrid/>
        <w:spacing w:line="360" w:lineRule="auto"/>
        <w:ind w:left="359" w:leftChars="171" w:firstLine="0" w:firstLineChars="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必须符合国家有关标准，有产品检验报告。保证无异味、无霉烂变质，如不符合磋商文件所描述的质量标准，必须退货并承担违约责任。</w:t>
      </w:r>
    </w:p>
    <w:p w14:paraId="57F714F4">
      <w:pPr>
        <w:keepNext w:val="0"/>
        <w:keepLines w:val="0"/>
        <w:pageBreakBefore w:val="0"/>
        <w:numPr>
          <w:ilvl w:val="0"/>
          <w:numId w:val="3"/>
        </w:numPr>
        <w:tabs>
          <w:tab w:val="left" w:pos="420"/>
          <w:tab w:val="left" w:pos="839"/>
        </w:tabs>
        <w:kinsoku/>
        <w:wordWrap/>
        <w:overflowPunct/>
        <w:topLinePunct w:val="0"/>
        <w:autoSpaceDE/>
        <w:autoSpaceDN/>
        <w:bidi w:val="0"/>
        <w:adjustRightInd/>
        <w:snapToGrid/>
        <w:spacing w:line="360" w:lineRule="auto"/>
        <w:ind w:left="359" w:leftChars="171" w:firstLine="0" w:firstLineChars="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货真价实，均能提供相应批次的合格检验证明。</w:t>
      </w:r>
    </w:p>
    <w:p w14:paraId="6983D35E">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left="0" w:leftChars="0" w:firstLine="360" w:firstLineChars="15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4）所提供的鲜肉、骨必须是经过肉检的当日屠宰的新鲜肉，应保持较好的外观和质量等级，符合国家食品部门的有关标准，保证无异味、无腐烂变质，无添加瘦肉精，无注水，鲜肉确保每日新鲜（当时屠宰）、无异味，并注明保鲜期。</w:t>
      </w:r>
    </w:p>
    <w:p w14:paraId="7A0EA20D">
      <w:pPr>
        <w:keepNext w:val="0"/>
        <w:keepLines w:val="0"/>
        <w:pageBreakBefore w:val="0"/>
        <w:numPr>
          <w:ilvl w:val="0"/>
          <w:numId w:val="0"/>
        </w:numPr>
        <w:tabs>
          <w:tab w:val="left" w:pos="360"/>
          <w:tab w:val="left" w:pos="839"/>
        </w:tabs>
        <w:kinsoku/>
        <w:wordWrap/>
        <w:overflowPunct/>
        <w:topLinePunct w:val="0"/>
        <w:autoSpaceDE/>
        <w:autoSpaceDN/>
        <w:bidi w:val="0"/>
        <w:adjustRightInd/>
        <w:snapToGrid/>
        <w:spacing w:line="360" w:lineRule="auto"/>
        <w:ind w:left="0" w:leftChars="0" w:firstLine="360" w:firstLineChars="150"/>
        <w:jc w:val="both"/>
        <w:textAlignment w:val="auto"/>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（5）食堂采购员、库管员和当班厨师共同对所购食品原辅料的质量、数量进行核对验收，验收合格的及时入库，不合格产品应及时退回供应商，同时做好验收记录。食堂管理员不定时抽查；</w:t>
      </w:r>
    </w:p>
    <w:p w14:paraId="0B269DAA">
      <w:pPr>
        <w:rPr>
          <w:rFonts w:hint="eastAsia" w:ascii="Times New Roman" w:hAnsi="Times New Roman" w:eastAsia="宋体" w:cs="Times New Roman"/>
        </w:rPr>
      </w:pPr>
      <w:r>
        <w:rPr>
          <w:rFonts w:hint="eastAsia" w:ascii="宋体" w:hAnsi="宋体" w:eastAsia="宋体" w:cs="Times New Roman"/>
          <w:color w:val="auto"/>
          <w:sz w:val="24"/>
          <w:szCs w:val="24"/>
          <w:lang w:val="en-US" w:eastAsia="zh-CN" w:bidi="ar-SA"/>
        </w:rPr>
        <w:t>（6）食材购回后，保管员和厨师共同验收，并在《原料购进验收单》上签字确认。</w:t>
      </w:r>
    </w:p>
    <w:p w14:paraId="69F44151">
      <w:pPr>
        <w:keepNext w:val="0"/>
        <w:keepLines w:val="0"/>
        <w:pageBreakBefore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lang w:val="en-US" w:eastAsia="zh-CN"/>
        </w:rPr>
        <w:t>（四）服务期:</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日至</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日。</w:t>
      </w:r>
    </w:p>
    <w:p w14:paraId="5F0F501C">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二、合同价格</w:t>
      </w:r>
    </w:p>
    <w:p w14:paraId="28255836">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合同总价：人民币大写：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color w:val="auto"/>
          <w:sz w:val="24"/>
          <w:szCs w:val="24"/>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1AEB8613">
      <w:pPr>
        <w:keepNext w:val="0"/>
        <w:keepLines w:val="0"/>
        <w:pageBreakBefore w:val="0"/>
        <w:numPr>
          <w:ilvl w:val="0"/>
          <w:numId w:val="2"/>
        </w:numPr>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b/>
          <w:color w:val="auto"/>
          <w:sz w:val="24"/>
          <w:szCs w:val="24"/>
          <w:lang w:val="en-US" w:eastAsia="zh-CN"/>
        </w:rPr>
        <w:t>付款方式:</w:t>
      </w:r>
    </w:p>
    <w:p w14:paraId="122A31DA">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1.按月根据供货单按实结算，成交供应商在接受采购人的每一笔付款前，应向</w:t>
      </w:r>
      <w:r>
        <w:rPr>
          <w:rFonts w:hint="eastAsia" w:ascii="宋体" w:hAnsi="宋体" w:cs="宋体"/>
          <w:color w:val="auto"/>
          <w:sz w:val="24"/>
          <w:szCs w:val="24"/>
          <w:u w:val="single"/>
          <w:lang w:eastAsia="zh-CN"/>
        </w:rPr>
        <w:t>采购人</w:t>
      </w:r>
      <w:r>
        <w:rPr>
          <w:rFonts w:hint="eastAsia" w:ascii="宋体" w:hAnsi="宋体" w:eastAsia="宋体" w:cs="宋体"/>
          <w:color w:val="auto"/>
          <w:sz w:val="24"/>
          <w:szCs w:val="24"/>
          <w:u w:val="single"/>
        </w:rPr>
        <w:t>开具相应金额的发票。</w:t>
      </w:r>
    </w:p>
    <w:p w14:paraId="1A462C8E">
      <w:pPr>
        <w:keepNext w:val="0"/>
        <w:keepLines w:val="0"/>
        <w:pageBreakBefore w:val="0"/>
        <w:numPr>
          <w:ilvl w:val="0"/>
          <w:numId w:val="0"/>
        </w:numPr>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u w:val="single"/>
        </w:rPr>
        <w:t>2.货物送到甲方指定地点，验收合格后，乙方提供所供货物清单，甲方对所供货物的价格进行核实，经核实无误后在供货单上签字确认。结算时按甲方签字确认的供货单按实结算。</w:t>
      </w:r>
    </w:p>
    <w:p w14:paraId="501B9CAE">
      <w:pPr>
        <w:autoSpaceDE w:val="0"/>
        <w:autoSpaceDN w:val="0"/>
        <w:adjustRightInd w:val="0"/>
        <w:snapToGrid w:val="0"/>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、保密条款</w:t>
      </w:r>
    </w:p>
    <w:p w14:paraId="33EE0DA6">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在甲方工作期间获得及接触的甲方的任何形式的保密信息，乙方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不得在本协议目的之外使用，也不得向任何第三方提供这些信息和接触这些信息的手段。</w:t>
      </w:r>
    </w:p>
    <w:p w14:paraId="547F83C4">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u w:val="single"/>
          <w:lang w:val="en-US" w:eastAsia="zh-CN"/>
        </w:rPr>
      </w:pPr>
      <w:r>
        <w:rPr>
          <w:rFonts w:hint="eastAsia" w:ascii="宋体" w:hAnsi="宋体" w:eastAsia="宋体" w:cs="宋体"/>
          <w:color w:val="auto"/>
          <w:sz w:val="24"/>
          <w:szCs w:val="24"/>
        </w:rPr>
        <w:t>2、乙方应管理和教育好</w:t>
      </w:r>
      <w:r>
        <w:rPr>
          <w:rFonts w:hint="eastAsia" w:ascii="宋体" w:hAnsi="宋体" w:eastAsia="宋体" w:cs="宋体"/>
          <w:color w:val="auto"/>
          <w:sz w:val="24"/>
          <w:szCs w:val="24"/>
          <w:lang w:val="en-US" w:eastAsia="zh-CN"/>
        </w:rPr>
        <w:t>拟派</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遵守甲方的保密规定。如果</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人员</w:t>
      </w:r>
      <w:r>
        <w:rPr>
          <w:rFonts w:hint="eastAsia" w:ascii="宋体" w:hAnsi="宋体" w:eastAsia="宋体" w:cs="宋体"/>
          <w:color w:val="auto"/>
          <w:sz w:val="24"/>
          <w:szCs w:val="24"/>
        </w:rPr>
        <w:t>违反甲方的保密要求，给甲方造成损失，甲方有权利追究乙方的责任。</w:t>
      </w:r>
    </w:p>
    <w:p w14:paraId="5FE0B68F">
      <w:pPr>
        <w:keepNext w:val="0"/>
        <w:keepLines w:val="0"/>
        <w:pageBreakBefore w:val="0"/>
        <w:widowControl w:val="0"/>
        <w:wordWrap/>
        <w:overflowPunct/>
        <w:topLinePunct w:val="0"/>
        <w:autoSpaceDE/>
        <w:autoSpaceDN/>
        <w:bidi w:val="0"/>
        <w:adjustRightInd w:val="0"/>
        <w:snapToGrid w:val="0"/>
        <w:spacing w:line="360" w:lineRule="auto"/>
        <w:ind w:left="0" w:leftChars="0" w:firstLine="0" w:firstLineChars="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五、违约责任</w:t>
      </w:r>
    </w:p>
    <w:p w14:paraId="6ECA5E72">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1、甲乙双方如因为其他原因要解除合约，应提前一个月通知对方，如有一方违反将补偿对方一个月服务费</w:t>
      </w:r>
      <w:r>
        <w:rPr>
          <w:rFonts w:hint="eastAsia" w:ascii="宋体" w:hAnsi="宋体" w:eastAsia="宋体" w:cs="宋体"/>
          <w:color w:val="auto"/>
          <w:kern w:val="0"/>
          <w:sz w:val="24"/>
          <w:szCs w:val="24"/>
          <w:shd w:val="clear" w:color="auto" w:fill="FFFFFF"/>
          <w:lang w:eastAsia="zh-CN" w:bidi="ar"/>
        </w:rPr>
        <w:t>，</w:t>
      </w:r>
      <w:r>
        <w:rPr>
          <w:rFonts w:hint="eastAsia" w:ascii="宋体" w:hAnsi="宋体" w:eastAsia="宋体" w:cs="宋体"/>
          <w:color w:val="auto"/>
          <w:kern w:val="0"/>
          <w:sz w:val="24"/>
          <w:szCs w:val="24"/>
          <w:shd w:val="clear" w:color="auto" w:fill="FFFFFF"/>
          <w:lang w:val="en-US" w:eastAsia="zh-CN" w:bidi="ar"/>
        </w:rPr>
        <w:t>同时按照相关法律法规承担相应处罚</w:t>
      </w:r>
      <w:r>
        <w:rPr>
          <w:rFonts w:hint="eastAsia" w:ascii="宋体" w:hAnsi="宋体" w:eastAsia="宋体" w:cs="宋体"/>
          <w:color w:val="auto"/>
          <w:kern w:val="0"/>
          <w:sz w:val="24"/>
          <w:szCs w:val="24"/>
          <w:shd w:val="clear" w:color="auto" w:fill="FFFFFF"/>
          <w:lang w:bidi="ar"/>
        </w:rPr>
        <w:t>。</w:t>
      </w:r>
    </w:p>
    <w:p w14:paraId="34F34818">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2、乙方不认真履行合同条款或因其它理由突然终止合同，视为乙方单方违约，甲方即废除同乙方合同，乙方须赔偿甲方当月服务费。</w:t>
      </w:r>
    </w:p>
    <w:p w14:paraId="3F970819">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3、甲方无正当理由拒付乙方服务费或无故拖欠服务费一个月以上时，乙方有权单方解除合同并撤回派驻人员。甲方须承担追加一个月服务费违约金。</w:t>
      </w:r>
    </w:p>
    <w:p w14:paraId="2BF13932">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4、乙方在工作中故意或疏忽而出现的责任事故因乙方原因造成他人人身伤害、财产损失及严重损失甲方声誉的，每出现一次，乙方除承担相关赔偿责任，甲方有权单方面解除本合同。</w:t>
      </w:r>
    </w:p>
    <w:p w14:paraId="5A0B0B6B">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shd w:val="clear" w:color="auto" w:fill="FFFFFF"/>
          <w:lang w:bidi="ar"/>
        </w:rPr>
        <w:t>5、乙方</w:t>
      </w:r>
      <w:r>
        <w:rPr>
          <w:rFonts w:hint="eastAsia" w:ascii="宋体" w:hAnsi="宋体" w:eastAsia="宋体" w:cs="宋体"/>
          <w:color w:val="auto"/>
          <w:kern w:val="0"/>
          <w:sz w:val="24"/>
          <w:szCs w:val="24"/>
          <w:shd w:val="clear" w:color="auto" w:fill="FFFFFF"/>
          <w:lang w:eastAsia="zh-CN" w:bidi="ar"/>
        </w:rPr>
        <w:t>人</w:t>
      </w:r>
      <w:r>
        <w:rPr>
          <w:rFonts w:hint="eastAsia" w:ascii="宋体" w:hAnsi="宋体" w:eastAsia="宋体" w:cs="宋体"/>
          <w:color w:val="auto"/>
          <w:kern w:val="0"/>
          <w:sz w:val="24"/>
          <w:szCs w:val="24"/>
          <w:shd w:val="clear" w:color="auto" w:fill="FFFFFF"/>
          <w:lang w:bidi="ar"/>
        </w:rPr>
        <w:t>员违反合同所约定之义务，影响合同约定区域的安全或导致甲方其他方面损害，经甲方</w:t>
      </w:r>
      <w:r>
        <w:rPr>
          <w:rFonts w:hint="eastAsia" w:ascii="宋体" w:hAnsi="宋体" w:eastAsia="宋体" w:cs="宋体"/>
          <w:color w:val="auto"/>
          <w:kern w:val="0"/>
          <w:sz w:val="24"/>
          <w:szCs w:val="24"/>
          <w:shd w:val="clear" w:color="auto" w:fill="FFFFFF"/>
          <w:lang w:eastAsia="zh-CN" w:bidi="ar"/>
        </w:rPr>
        <w:t>书面</w:t>
      </w:r>
      <w:r>
        <w:rPr>
          <w:rFonts w:hint="eastAsia" w:ascii="宋体" w:hAnsi="宋体" w:eastAsia="宋体" w:cs="宋体"/>
          <w:color w:val="auto"/>
          <w:kern w:val="0"/>
          <w:sz w:val="24"/>
          <w:szCs w:val="24"/>
          <w:shd w:val="clear" w:color="auto" w:fill="FFFFFF"/>
          <w:lang w:bidi="ar"/>
        </w:rPr>
        <w:t>警告仍无整改，甲方有权单方面终止合同，而无须承担任何责任。</w:t>
      </w:r>
    </w:p>
    <w:p w14:paraId="6A16FE6F">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、合同争议的解决</w:t>
      </w:r>
    </w:p>
    <w:p w14:paraId="3B9B0C9A">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合同一经签订，不得随意变更、中止或终止。对确需变更、调整或者中止、终止合同的，应按规定履行相应的手续。</w:t>
      </w:r>
    </w:p>
    <w:p w14:paraId="04B74F5C">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合同执行中发生争议的，甲、乙双方应协商解决，协商达不成一致时，可向甲方所在地人民法院提请诉讼。</w:t>
      </w:r>
    </w:p>
    <w:p w14:paraId="7B4F74FE">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七</w:t>
      </w:r>
      <w:r>
        <w:rPr>
          <w:rFonts w:hint="eastAsia" w:ascii="宋体" w:hAnsi="宋体" w:eastAsia="宋体" w:cs="宋体"/>
          <w:b/>
          <w:color w:val="auto"/>
          <w:sz w:val="24"/>
          <w:szCs w:val="24"/>
        </w:rPr>
        <w:t>、其它事项</w:t>
      </w:r>
    </w:p>
    <w:p w14:paraId="79C21D0C">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1、甲、乙双方作为合同执行的主体，有义务及时完全履行合同。</w:t>
      </w:r>
    </w:p>
    <w:p w14:paraId="281D9F48">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、合同未尽事宜，由甲、乙双方协商签订补充协议，作为本合同不可分割的组成部分，与本合同具有同等法律效力。</w:t>
      </w:r>
    </w:p>
    <w:p w14:paraId="748743EA">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、磋商文件和乙方的磋商响应文件以及合同附件均为合同不可分割的部分。</w:t>
      </w:r>
    </w:p>
    <w:p w14:paraId="17F22BD9">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份。双方签字盖章后生效，合同执行完毕自动失效。</w:t>
      </w:r>
    </w:p>
    <w:tbl>
      <w:tblPr>
        <w:tblStyle w:val="5"/>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794E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shd w:val="clear" w:color="auto" w:fill="D8D8D8"/>
            <w:noWrap w:val="0"/>
            <w:vAlign w:val="bottom"/>
          </w:tcPr>
          <w:p w14:paraId="11787B4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甲</w:t>
            </w:r>
            <w:r>
              <w:rPr>
                <w:rFonts w:hint="eastAsia" w:ascii="宋体" w:hAnsi="宋体" w:eastAsia="宋体" w:cs="宋体"/>
                <w:b/>
                <w:color w:val="auto"/>
                <w:sz w:val="24"/>
                <w:szCs w:val="24"/>
                <w:highlight w:val="none"/>
              </w:rPr>
              <w:t xml:space="preserve"> 方</w:t>
            </w:r>
          </w:p>
        </w:tc>
        <w:tc>
          <w:tcPr>
            <w:tcW w:w="4345" w:type="dxa"/>
            <w:tcBorders>
              <w:tl2br w:val="nil"/>
              <w:tr2bl w:val="nil"/>
            </w:tcBorders>
            <w:shd w:val="clear" w:color="auto" w:fill="D8D8D8"/>
            <w:noWrap w:val="0"/>
            <w:vAlign w:val="bottom"/>
          </w:tcPr>
          <w:p w14:paraId="1D00E7F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乙</w:t>
            </w:r>
            <w:r>
              <w:rPr>
                <w:rFonts w:hint="eastAsia" w:ascii="宋体" w:hAnsi="宋体" w:eastAsia="宋体" w:cs="宋体"/>
                <w:b/>
                <w:color w:val="auto"/>
                <w:sz w:val="24"/>
                <w:szCs w:val="24"/>
                <w:highlight w:val="none"/>
              </w:rPr>
              <w:t xml:space="preserve">  方</w:t>
            </w:r>
          </w:p>
        </w:tc>
      </w:tr>
      <w:tr w14:paraId="0614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0CB31E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（公章）</w:t>
            </w:r>
          </w:p>
        </w:tc>
        <w:tc>
          <w:tcPr>
            <w:tcW w:w="4345" w:type="dxa"/>
            <w:tcBorders>
              <w:tl2br w:val="nil"/>
              <w:tr2bl w:val="nil"/>
            </w:tcBorders>
            <w:noWrap w:val="0"/>
            <w:vAlign w:val="center"/>
          </w:tcPr>
          <w:p w14:paraId="058DE6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（公章）</w:t>
            </w:r>
          </w:p>
        </w:tc>
      </w:tr>
      <w:tr w14:paraId="0C240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67FA90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345" w:type="dxa"/>
            <w:tcBorders>
              <w:tl2br w:val="nil"/>
              <w:tr2bl w:val="nil"/>
            </w:tcBorders>
            <w:noWrap w:val="0"/>
            <w:vAlign w:val="center"/>
          </w:tcPr>
          <w:p w14:paraId="4B9AB9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3F5E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14B040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345" w:type="dxa"/>
            <w:tcBorders>
              <w:tl2br w:val="nil"/>
              <w:tr2bl w:val="nil"/>
            </w:tcBorders>
            <w:noWrap w:val="0"/>
            <w:vAlign w:val="center"/>
          </w:tcPr>
          <w:p w14:paraId="4EA357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35C91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37E8D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345" w:type="dxa"/>
            <w:tcBorders>
              <w:tl2br w:val="nil"/>
              <w:tr2bl w:val="nil"/>
            </w:tcBorders>
            <w:noWrap w:val="0"/>
            <w:vAlign w:val="center"/>
          </w:tcPr>
          <w:p w14:paraId="70CBDE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4867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6070A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c>
          <w:tcPr>
            <w:tcW w:w="4345" w:type="dxa"/>
            <w:tcBorders>
              <w:tl2br w:val="nil"/>
              <w:tr2bl w:val="nil"/>
            </w:tcBorders>
            <w:noWrap w:val="0"/>
            <w:vAlign w:val="center"/>
          </w:tcPr>
          <w:p w14:paraId="72611A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负责人：（签字）</w:t>
            </w:r>
          </w:p>
        </w:tc>
      </w:tr>
      <w:tr w14:paraId="1190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1DB841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345" w:type="dxa"/>
            <w:tcBorders>
              <w:tl2br w:val="nil"/>
              <w:tr2bl w:val="nil"/>
            </w:tcBorders>
            <w:noWrap w:val="0"/>
            <w:vAlign w:val="center"/>
          </w:tcPr>
          <w:p w14:paraId="5BC5C6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50284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37A3D1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345" w:type="dxa"/>
            <w:tcBorders>
              <w:tl2br w:val="nil"/>
              <w:tr2bl w:val="nil"/>
            </w:tcBorders>
            <w:noWrap w:val="0"/>
            <w:vAlign w:val="center"/>
          </w:tcPr>
          <w:p w14:paraId="30D22A4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1627E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5296A126">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14:paraId="1BE741E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7F743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61AA3169">
            <w:pPr>
              <w:spacing w:line="360" w:lineRule="auto"/>
              <w:rPr>
                <w:rFonts w:hint="eastAsia" w:ascii="宋体" w:hAnsi="宋体" w:eastAsia="宋体" w:cs="宋体"/>
                <w:color w:val="auto"/>
                <w:sz w:val="24"/>
                <w:szCs w:val="24"/>
                <w:highlight w:val="none"/>
              </w:rPr>
            </w:pPr>
          </w:p>
        </w:tc>
        <w:tc>
          <w:tcPr>
            <w:tcW w:w="4345" w:type="dxa"/>
            <w:tcBorders>
              <w:tl2br w:val="nil"/>
              <w:tr2bl w:val="nil"/>
            </w:tcBorders>
            <w:noWrap w:val="0"/>
            <w:vAlign w:val="center"/>
          </w:tcPr>
          <w:p w14:paraId="578B13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14:paraId="467E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362" w:type="dxa"/>
            <w:tcBorders>
              <w:tl2br w:val="nil"/>
              <w:tr2bl w:val="nil"/>
            </w:tcBorders>
            <w:noWrap w:val="0"/>
            <w:vAlign w:val="center"/>
          </w:tcPr>
          <w:p w14:paraId="2AA159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tc>
        <w:tc>
          <w:tcPr>
            <w:tcW w:w="4345" w:type="dxa"/>
            <w:tcBorders>
              <w:tl2br w:val="nil"/>
              <w:tr2bl w:val="nil"/>
            </w:tcBorders>
            <w:noWrap w:val="0"/>
            <w:vAlign w:val="center"/>
          </w:tcPr>
          <w:p w14:paraId="12A78D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tc>
      </w:tr>
    </w:tbl>
    <w:p w14:paraId="42649762">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color w:val="auto"/>
          <w:sz w:val="24"/>
          <w:szCs w:val="24"/>
        </w:rPr>
      </w:pPr>
    </w:p>
    <w:p w14:paraId="36546958">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color w:val="auto"/>
          <w:sz w:val="24"/>
          <w:szCs w:val="24"/>
        </w:rPr>
      </w:pPr>
    </w:p>
    <w:p w14:paraId="171C9975">
      <w:pPr>
        <w:rPr>
          <w:rFonts w:ascii="Times New Roman" w:hAnsi="Times New Roman" w:cs="Times New Roman"/>
        </w:rPr>
      </w:pPr>
    </w:p>
    <w:p w14:paraId="1D6477DF">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57C53"/>
    <w:multiLevelType w:val="singleLevel"/>
    <w:tmpl w:val="C5F57C53"/>
    <w:lvl w:ilvl="0" w:tentative="0">
      <w:start w:val="1"/>
      <w:numFmt w:val="decimal"/>
      <w:suff w:val="nothing"/>
      <w:lvlText w:val="（%1）"/>
      <w:lvlJc w:val="left"/>
    </w:lvl>
  </w:abstractNum>
  <w:abstractNum w:abstractNumId="1">
    <w:nsid w:val="CBC4B759"/>
    <w:multiLevelType w:val="singleLevel"/>
    <w:tmpl w:val="CBC4B759"/>
    <w:lvl w:ilvl="0" w:tentative="0">
      <w:start w:val="3"/>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suff w:val="nothing"/>
      <w:lvlText w:val="%1　"/>
      <w:lvlJc w:val="left"/>
      <w:pPr>
        <w:ind w:left="315" w:firstLine="0"/>
      </w:pPr>
      <w:rPr>
        <w:rFonts w:hint="eastAsia" w:ascii="仿宋_GB2312" w:hAnsi="Times New Roman" w:eastAsia="仿宋_GB2312"/>
        <w:b/>
        <w:i w:val="0"/>
        <w:sz w:val="32"/>
        <w:szCs w:val="32"/>
      </w:rPr>
    </w:lvl>
    <w:lvl w:ilvl="1" w:tentative="0">
      <w:start w:val="1"/>
      <w:numFmt w:val="decimal"/>
      <w:pStyle w:val="8"/>
      <w:suff w:val="nothing"/>
      <w:lvlText w:val="%1.%2　"/>
      <w:lvlJc w:val="left"/>
      <w:pPr>
        <w:ind w:left="105" w:firstLine="0"/>
      </w:pPr>
      <w:rPr>
        <w:rFonts w:hint="eastAsia" w:ascii="仿宋_GB2312" w:hAnsi="Times New Roman" w:eastAsia="仿宋_GB2312" w:cs="Times New Roman"/>
        <w:b w:val="0"/>
        <w:bCs w:val="0"/>
        <w:i w:val="0"/>
        <w:iCs w:val="0"/>
        <w:caps w:val="0"/>
        <w:strike w:val="0"/>
        <w:dstrike w:val="0"/>
        <w:vanish w:val="0"/>
        <w:spacing w:val="0"/>
        <w:kern w:val="0"/>
        <w:position w:val="0"/>
        <w:sz w:val="32"/>
        <w:szCs w:val="32"/>
        <w:u w:val="none"/>
        <w:vertAlign w:val="baseline"/>
      </w:rPr>
    </w:lvl>
    <w:lvl w:ilvl="2" w:tentative="0">
      <w:start w:val="1"/>
      <w:numFmt w:val="decimal"/>
      <w:suff w:val="nothing"/>
      <w:lvlText w:val="%1.%2.%3　"/>
      <w:lvlJc w:val="left"/>
      <w:pPr>
        <w:ind w:left="1155" w:firstLine="0"/>
      </w:pPr>
      <w:rPr>
        <w:rFonts w:hint="eastAsia" w:ascii="仿宋_GB2312" w:hAnsi="Times New Roman" w:eastAsia="仿宋_GB2312"/>
        <w:b w:val="0"/>
        <w:i w:val="0"/>
        <w:sz w:val="32"/>
        <w:szCs w:val="32"/>
      </w:rPr>
    </w:lvl>
    <w:lvl w:ilvl="3" w:tentative="0">
      <w:start w:val="1"/>
      <w:numFmt w:val="decimal"/>
      <w:suff w:val="nothing"/>
      <w:lvlText w:val="%1.%2.%3.%4　"/>
      <w:lvlJc w:val="left"/>
      <w:pPr>
        <w:ind w:left="0" w:firstLine="0"/>
      </w:pPr>
      <w:rPr>
        <w:rFonts w:hint="eastAsia" w:ascii="仿宋_GB2312" w:hAnsi="Times New Roman" w:eastAsia="仿宋_GB2312"/>
        <w:b w:val="0"/>
        <w:i w:val="0"/>
        <w:sz w:val="32"/>
        <w:szCs w:val="32"/>
      </w:rPr>
    </w:lvl>
    <w:lvl w:ilvl="4" w:tentative="0">
      <w:start w:val="1"/>
      <w:numFmt w:val="decimal"/>
      <w:suff w:val="nothing"/>
      <w:lvlText w:val="%1.%2.%3.%4.%5　"/>
      <w:lvlJc w:val="left"/>
      <w:pPr>
        <w:ind w:left="0" w:firstLine="0"/>
      </w:pPr>
      <w:rPr>
        <w:rFonts w:hint="eastAsia" w:ascii="仿宋_GB2312" w:hAnsi="Times New Roman" w:eastAsia="仿宋_GB2312"/>
        <w:b w:val="0"/>
        <w:i w:val="0"/>
        <w:sz w:val="32"/>
        <w:szCs w:val="32"/>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10EE7E73"/>
    <w:rsid w:val="062460D3"/>
    <w:rsid w:val="10EE7E73"/>
    <w:rsid w:val="62C932A3"/>
    <w:rsid w:val="6D706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Normal Indent"/>
    <w:autoRedefine/>
    <w:qFormat/>
    <w:uiPriority w:val="0"/>
    <w:pPr>
      <w:widowControl w:val="0"/>
      <w:ind w:firstLine="420"/>
      <w:jc w:val="both"/>
    </w:pPr>
    <w:rPr>
      <w:rFonts w:ascii="Times New Roman" w:hAnsi="Times New Roman" w:eastAsia="宋体" w:cs="Times New Roman"/>
      <w:kern w:val="2"/>
      <w:sz w:val="21"/>
      <w:szCs w:val="21"/>
      <w:lang w:val="en-US" w:eastAsia="zh-CN" w:bidi="ar-SA"/>
    </w:rPr>
  </w:style>
  <w:style w:type="paragraph" w:styleId="4">
    <w:name w:val="Body Text"/>
    <w:next w:val="1"/>
    <w:autoRedefine/>
    <w:qFormat/>
    <w:uiPriority w:val="0"/>
    <w:pPr>
      <w:widowControl w:val="0"/>
      <w:jc w:val="left"/>
    </w:pPr>
    <w:rPr>
      <w:rFonts w:ascii="Copperplate Gothic Bold" w:hAnsi="Copperplate Gothic Bold" w:eastAsia="宋体" w:cs="Times New Roman"/>
      <w:kern w:val="2"/>
      <w:sz w:val="28"/>
      <w:lang w:val="en-US" w:eastAsia="zh-CN" w:bidi="ar-SA"/>
    </w:rPr>
  </w:style>
  <w:style w:type="table" w:styleId="6">
    <w:name w:val="Table Grid"/>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一级条标题"/>
    <w:next w:val="1"/>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2418</Words>
  <Characters>2424</Characters>
  <Lines>0</Lines>
  <Paragraphs>0</Paragraphs>
  <TotalTime>0</TotalTime>
  <ScaleCrop>false</ScaleCrop>
  <LinksUpToDate>false</LinksUpToDate>
  <CharactersWithSpaces>2651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2024-03-29T08:55:00Z</dcterms:created>
  <dc:creator>Dreamer</dc:creator>
  <cp:lastModifiedBy>冰吸椰椰</cp:lastModifiedBy>
  <dcterms:modified xsi:type="dcterms:W3CDTF">2025-05-09T05:29:24Z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37F80D500FE7438C92710B7551135FB8_11</vt:lpwstr>
  </property>
  <property fmtid="{D5CDD505-2E9C-101B-9397-08002B2CF9AE}" pid="4" name="KSOTemplateDocerSaveRecord">
    <vt:lpwstr>eyJoZGlkIjoiNTNkYjhiZTQ5NGE3NjRiYjAwYmU5ZjMxZTE3YmVkMWIiLCJ1c2VySWQiOiI2MDA2ODA2ODQifQ==</vt:lpwstr>
  </property>
</Properties>
</file>