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版本号：SXLX25-01-029Z(F)20250516001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西安市未央区城市体检项目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SXLX25-01-029Z(F)</w:t>
      </w:r>
      <w:r>
        <w:br/>
      </w:r>
      <w:r>
        <w:br/>
      </w:r>
      <w:r>
        <w:br/>
      </w:r>
    </w:p>
    <w:p>
      <w:pPr>
        <w:pStyle w:val="null3"/>
        <w:jc w:val="center"/>
        <w:outlineLvl w:val="2"/>
      </w:pPr>
      <w:r>
        <w:rPr>
          <w:rFonts w:ascii="仿宋_GB2312" w:hAnsi="仿宋_GB2312" w:cs="仿宋_GB2312" w:eastAsia="仿宋_GB2312"/>
          <w:sz w:val="28"/>
          <w:b/>
        </w:rPr>
        <w:t>西安市未央区住房和城市建设局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西安市未央区住房和城市建设局</w:t>
      </w:r>
      <w:r>
        <w:rPr>
          <w:rFonts w:ascii="仿宋_GB2312" w:hAnsi="仿宋_GB2312" w:cs="仿宋_GB2312" w:eastAsia="仿宋_GB2312"/>
        </w:rPr>
        <w:t>委托，拟对</w:t>
      </w:r>
      <w:r>
        <w:rPr>
          <w:rFonts w:ascii="仿宋_GB2312" w:hAnsi="仿宋_GB2312" w:cs="仿宋_GB2312" w:eastAsia="仿宋_GB2312"/>
        </w:rPr>
        <w:t>西安市未央区城市体检项目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SXLX25-01-029Z(F)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西安市未央区城市体检项目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陕西省住房和城乡建设厅关于全面开展城市体检工作的通知》（陕建发〔2024〕36号）、《西安市2024年城市体检评估工作实施方案》，从“住房、小区（社区）、街区、城区（城市）”四个维度开展未央区建成区城市体检工作，主要包含完善体检指标体系、数据采集和上报、编制城市体检报告、形成问题清单和整治建议清单等工作；综合评价城市生命体征状况和建设发展质量，重点查找影响城市竞争力、承载力和可持续发展的短板弱项，提出相应“城市病”治理的对策建议，配合并促进采购人完成城市管理目标；各项服务标准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1、供应商需具有城乡规划（国土空间规划）编制乙级及以上资质（含乙级）：供应商需具有城乡规划（国土空间规划）编制乙级及以上资质（含乙级）</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西安市未央区住房和城市建设局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西安市未央区永祥路9号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霍家伟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029-86263303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依据《关于进一步放开建设项目专项业务服务价格的通知》（发改价格〔2015〕299号）文件规定按捌仟圆收取，此服务费应计入响应报价中，但不需要单独开列，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西安市未央区住房和城市建设局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西安市未央区住房和城市建设局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西安市未央区住房和城市建设局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陕西省住房和城乡建设厅关于全面开展城市体检工作的通知》（陕建发〔2024〕36号）、《西安市2024年城市体检评估工作实施方案》，从“住房、小区（社区）、街区、城区（城市）”四个维度开展未央区建成区城市体检工作，主要包含完善体检指标体系、数据采集和上报、编制城市体检报告、形成问题清单和整治建议清单等工作；综合评价城市生命体征状况和建设发展质量，重点查找影响城市竞争力、承载力和可持续发展的短板弱项，提出相应“城市病”治理的对策建议，配合并促进采购人完成城市管理目标；各项服务标准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西安市未央区城市体检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标的名称：西安市未央区城市体检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一、服务内容与要求</w:t>
            </w:r>
          </w:p>
          <w:p>
            <w:pPr>
              <w:pStyle w:val="null3"/>
              <w:spacing w:before="105" w:after="105"/>
              <w:ind w:firstLine="422"/>
              <w:jc w:val="both"/>
            </w:pPr>
            <w:r>
              <w:rPr>
                <w:rFonts w:ascii="仿宋_GB2312" w:hAnsi="仿宋_GB2312" w:cs="仿宋_GB2312" w:eastAsia="仿宋_GB2312"/>
                <w:sz w:val="21"/>
                <w:b/>
                <w:color w:val="000000"/>
              </w:rPr>
              <w:t>1.1服务内容：</w:t>
            </w:r>
            <w:r>
              <w:rPr>
                <w:rFonts w:ascii="仿宋_GB2312" w:hAnsi="仿宋_GB2312" w:cs="仿宋_GB2312" w:eastAsia="仿宋_GB2312"/>
                <w:sz w:val="21"/>
                <w:color w:val="000000"/>
              </w:rPr>
              <w:t>根据区域划分责任范围，落实服务目标，开展未央区建成区城市体检工作，从</w:t>
            </w:r>
            <w:r>
              <w:rPr>
                <w:rFonts w:ascii="仿宋_GB2312" w:hAnsi="仿宋_GB2312" w:cs="仿宋_GB2312" w:eastAsia="仿宋_GB2312"/>
                <w:sz w:val="21"/>
                <w:color w:val="000000"/>
              </w:rPr>
              <w:t>“住房、小区（社区）、街区、城区（城市）”四个维度开展未央区建成区城市体检工作，主要包含完善体检指标体系、数据采集和上报、编制城市体检报告、形成问题清单和整治建议清单等工作；综合评价城市生命体征状况和建设发展质量，重点查找影响城市竞争力、承载力和可持续发展的短板弱项，提出相应“城市病”治理的对策建议，配合并促进采购人完成城市管理目标，具体服务内容（包括但不限于）如下：</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1）完善体检指标体系</w:t>
            </w:r>
          </w:p>
          <w:p>
            <w:pPr>
              <w:pStyle w:val="null3"/>
              <w:spacing w:before="105" w:after="105"/>
              <w:ind w:firstLine="420"/>
              <w:jc w:val="both"/>
            </w:pPr>
            <w:r>
              <w:rPr>
                <w:rFonts w:ascii="仿宋_GB2312" w:hAnsi="仿宋_GB2312" w:cs="仿宋_GB2312" w:eastAsia="仿宋_GB2312"/>
                <w:sz w:val="21"/>
                <w:color w:val="000000"/>
              </w:rPr>
              <w:t>根据《陕西省住房和城乡建设厅关于全面开展城市体检工作的通知》（陕建发〔</w:t>
            </w:r>
            <w:r>
              <w:rPr>
                <w:rFonts w:ascii="仿宋_GB2312" w:hAnsi="仿宋_GB2312" w:cs="仿宋_GB2312" w:eastAsia="仿宋_GB2312"/>
                <w:sz w:val="21"/>
                <w:color w:val="000000"/>
              </w:rPr>
              <w:t>2024〕36号）、《西安市2024年城市体检评估工作实施方案》，在“住房、小区（社区）、街区、城区（城市）”四个维度81项基础指标。结合未央区现实特征、发展重点、亮点特色等实际情况，增加体现未央区特点的差异化特色指标，形成完善的体检指标体系。</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2）数据采集和上报</w:t>
            </w:r>
          </w:p>
          <w:p>
            <w:pPr>
              <w:pStyle w:val="null3"/>
              <w:spacing w:before="105" w:after="105"/>
              <w:ind w:firstLine="420"/>
              <w:jc w:val="both"/>
            </w:pPr>
            <w:r>
              <w:rPr>
                <w:rFonts w:ascii="仿宋_GB2312" w:hAnsi="仿宋_GB2312" w:cs="仿宋_GB2312" w:eastAsia="仿宋_GB2312"/>
                <w:sz w:val="21"/>
                <w:color w:val="000000"/>
              </w:rPr>
              <w:t>针对住房、小区（社区）、街区、城区（城市）四个维度的数据进行体检采集，城区维度采用未央区各部门分工负责的工作方式对数据进行采集；街区维度联合街道工作人员组成联合工作组，开展数据填报及汇总工作；住房、小区（社区）维度数据联合社区居委会、社区网格员、物业人员组成联合工作组，开展现场调研与数据填报工作。</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3）编制城市体检报告</w:t>
            </w:r>
          </w:p>
          <w:p>
            <w:pPr>
              <w:pStyle w:val="null3"/>
              <w:spacing w:before="105" w:after="105"/>
              <w:ind w:firstLine="420"/>
              <w:jc w:val="both"/>
            </w:pPr>
            <w:r>
              <w:rPr>
                <w:rFonts w:ascii="仿宋_GB2312" w:hAnsi="仿宋_GB2312" w:cs="仿宋_GB2312" w:eastAsia="仿宋_GB2312"/>
                <w:sz w:val="21"/>
                <w:color w:val="000000"/>
              </w:rPr>
              <w:t>结合住房、小区（社区）、街区、城区（城市）四个维度指标及居民抽样问卷调查结果，对照未央区规划建设管理现状，完成《未央区</w:t>
            </w:r>
            <w:r>
              <w:rPr>
                <w:rFonts w:ascii="仿宋_GB2312" w:hAnsi="仿宋_GB2312" w:cs="仿宋_GB2312" w:eastAsia="仿宋_GB2312"/>
                <w:sz w:val="21"/>
                <w:color w:val="000000"/>
              </w:rPr>
              <w:t>2024年城市体检报告》。体检报告要通过对城市体检指标数据进行全面、客观地分析评价，综合评价城市生命体征状况和建设发展质量，重点查找影响城市竞争力、承载力和可持续发展的短板弱项，找准阻碍城市发展的“症结”，客观分析评价城市人居环境质量及存在问题，提出相应“城市病”治理的对策建议。</w:t>
            </w:r>
          </w:p>
          <w:p>
            <w:pPr>
              <w:pStyle w:val="null3"/>
              <w:spacing w:before="105" w:after="105"/>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4）形成问题清单、整治建议清单</w:t>
            </w:r>
          </w:p>
          <w:p>
            <w:pPr>
              <w:pStyle w:val="null3"/>
              <w:spacing w:before="105" w:after="105"/>
              <w:ind w:firstLine="420"/>
              <w:jc w:val="both"/>
            </w:pPr>
            <w:r>
              <w:rPr>
                <w:rFonts w:ascii="仿宋_GB2312" w:hAnsi="仿宋_GB2312" w:cs="仿宋_GB2312" w:eastAsia="仿宋_GB2312"/>
                <w:sz w:val="21"/>
                <w:color w:val="000000"/>
              </w:rPr>
              <w:t>通过城市体检识别不同板块问题短板，剖析问题短板产生的根源，形成问题清单；结合未央区城市建设重点内容、行动计划，在问题清单基础上，形成整治建议清单、城市更新项目库，支撑开展区域行动计划、相关专项资金申请。</w:t>
            </w:r>
          </w:p>
          <w:p>
            <w:pPr>
              <w:pStyle w:val="null3"/>
              <w:spacing w:before="105" w:after="105"/>
              <w:ind w:firstLine="422"/>
              <w:jc w:val="both"/>
            </w:pPr>
            <w:r>
              <w:rPr>
                <w:rFonts w:ascii="仿宋_GB2312" w:hAnsi="仿宋_GB2312" w:cs="仿宋_GB2312" w:eastAsia="仿宋_GB2312"/>
                <w:sz w:val="21"/>
                <w:b/>
                <w:color w:val="000000"/>
              </w:rPr>
              <w:t>1.2技术要求：</w:t>
            </w:r>
            <w:r>
              <w:rPr>
                <w:rFonts w:ascii="仿宋_GB2312" w:hAnsi="仿宋_GB2312" w:cs="仿宋_GB2312" w:eastAsia="仿宋_GB2312"/>
                <w:sz w:val="21"/>
                <w:color w:val="000000"/>
              </w:rPr>
              <w:t>具备完成城市体检项目报告编制的技术力量，在报告编制和城市问题整治方面有较好的工作基础，具有独立开展体检和组织开展研究的能力。</w:t>
            </w:r>
          </w:p>
          <w:p>
            <w:pPr>
              <w:pStyle w:val="null3"/>
              <w:spacing w:before="105" w:after="105"/>
              <w:ind w:firstLine="422"/>
              <w:jc w:val="both"/>
            </w:pPr>
            <w:r>
              <w:rPr>
                <w:rFonts w:ascii="仿宋_GB2312" w:hAnsi="仿宋_GB2312" w:cs="仿宋_GB2312" w:eastAsia="仿宋_GB2312"/>
                <w:sz w:val="21"/>
                <w:b/>
                <w:color w:val="000000"/>
              </w:rPr>
              <w:t>1.3进度要求：</w:t>
            </w:r>
            <w:r>
              <w:rPr>
                <w:rFonts w:ascii="仿宋_GB2312" w:hAnsi="仿宋_GB2312" w:cs="仿宋_GB2312" w:eastAsia="仿宋_GB2312"/>
                <w:sz w:val="21"/>
                <w:color w:val="000000"/>
              </w:rPr>
              <w:t>通过采取科学、合理、可行的组织、技术、管理等相关控制措施将项目实施进度控制在采购人所要求的合理时间节点内。</w:t>
            </w:r>
          </w:p>
          <w:p>
            <w:pPr>
              <w:pStyle w:val="null3"/>
              <w:spacing w:before="105" w:after="105"/>
              <w:ind w:firstLine="422"/>
              <w:jc w:val="left"/>
            </w:pPr>
            <w:r>
              <w:rPr>
                <w:rFonts w:ascii="仿宋_GB2312" w:hAnsi="仿宋_GB2312" w:cs="仿宋_GB2312" w:eastAsia="仿宋_GB2312"/>
                <w:sz w:val="21"/>
                <w:b/>
                <w:color w:val="000000"/>
              </w:rPr>
              <w:t>1.4服务要求：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1）服务方须指派专属人员与采购人联系服务事宜，服务响应时间应根据采购人实际安排随时调整。</w:t>
            </w:r>
          </w:p>
          <w:p>
            <w:pPr>
              <w:pStyle w:val="null3"/>
              <w:spacing w:before="105" w:after="105"/>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2）服务方需根据服务实际情况编制服务方案，服务计划、服务进度安排等方案措施。</w:t>
            </w:r>
          </w:p>
          <w:p>
            <w:pPr>
              <w:pStyle w:val="null3"/>
              <w:spacing w:before="105" w:after="105"/>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p>
          <w:p>
            <w:pPr>
              <w:pStyle w:val="null3"/>
              <w:spacing w:before="105" w:after="105"/>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4）服务过程中，严格按照国家及地方相关标准规范收集数据，确保数据全面性、准确性、时效性。</w:t>
            </w:r>
          </w:p>
          <w:p>
            <w:pPr>
              <w:pStyle w:val="null3"/>
              <w:spacing w:before="105" w:after="105"/>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5）严格按照国家、陕西省、西安市有关规定及采购人要求进行服务，不得随意更改或者变换服务内容，每项服务内容实施前应事先取得采购人的落实后方可实施。</w:t>
            </w:r>
          </w:p>
          <w:p>
            <w:pPr>
              <w:pStyle w:val="null3"/>
              <w:spacing w:before="105" w:after="105"/>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6）服务方派遣的服务人员对于在工作中获悉的一切政府工作的信息应严格保守秘密，不得泄露；对于违反者，给采购人单位造成不良社会影响的，或给采购人单位造成损失的，由服务方承担赔偿责任。</w:t>
            </w:r>
          </w:p>
          <w:p>
            <w:pPr>
              <w:pStyle w:val="null3"/>
              <w:spacing w:before="105" w:after="105"/>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7）服务结束，提供本项目相关所有服务的成果报告及归档资料。</w:t>
            </w:r>
          </w:p>
          <w:p>
            <w:pPr>
              <w:pStyle w:val="null3"/>
              <w:spacing w:before="105" w:after="105"/>
              <w:ind w:firstLine="422"/>
              <w:jc w:val="left"/>
            </w:pPr>
            <w:r>
              <w:rPr>
                <w:rFonts w:ascii="仿宋_GB2312" w:hAnsi="仿宋_GB2312" w:cs="仿宋_GB2312" w:eastAsia="仿宋_GB2312"/>
                <w:sz w:val="21"/>
                <w:b/>
                <w:color w:val="000000"/>
              </w:rPr>
              <w:t>1.5成果要求：</w:t>
            </w:r>
            <w:r>
              <w:rPr>
                <w:rFonts w:ascii="仿宋_GB2312" w:hAnsi="仿宋_GB2312" w:cs="仿宋_GB2312" w:eastAsia="仿宋_GB2312"/>
                <w:sz w:val="21"/>
                <w:color w:val="000000"/>
              </w:rPr>
              <w:t>成果内容应完整真实、科学严谨、思路清晰、具有代表性，符合未央区在新形势、新变化、新发展下的城市现状；成果质量符合住房和城乡建设部建筑节能与科技司印发的《城市体检评估技术指南》的相关要求，并通过采购人组织的论证或评审会。</w:t>
            </w:r>
          </w:p>
          <w:p>
            <w:pPr>
              <w:pStyle w:val="null3"/>
              <w:spacing w:before="105" w:after="105"/>
              <w:ind w:firstLine="422"/>
              <w:jc w:val="left"/>
            </w:pPr>
            <w:r>
              <w:rPr>
                <w:rFonts w:ascii="仿宋_GB2312" w:hAnsi="仿宋_GB2312" w:cs="仿宋_GB2312" w:eastAsia="仿宋_GB2312"/>
                <w:sz w:val="21"/>
                <w:b/>
                <w:color w:val="000000"/>
              </w:rPr>
              <w:t>1.6质量标准及要求：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1）各项服务符合国家、省、市（行业）强制性标准及采购人要求的合格标准。</w:t>
            </w:r>
          </w:p>
          <w:p>
            <w:pPr>
              <w:pStyle w:val="null3"/>
              <w:spacing w:before="105" w:after="105"/>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pPr>
              <w:pStyle w:val="null3"/>
              <w:spacing w:before="105" w:after="105"/>
              <w:jc w:val="left"/>
            </w:pPr>
            <w:r>
              <w:rPr>
                <w:rFonts w:ascii="仿宋_GB2312" w:hAnsi="仿宋_GB2312" w:cs="仿宋_GB2312" w:eastAsia="仿宋_GB2312"/>
                <w:sz w:val="21"/>
                <w:b/>
                <w:color w:val="000000"/>
              </w:rPr>
              <w:t>二、其他要求或说明</w:t>
            </w:r>
          </w:p>
          <w:p>
            <w:pPr>
              <w:pStyle w:val="null3"/>
              <w:spacing w:before="105" w:after="105"/>
              <w:ind w:firstLine="420"/>
              <w:jc w:val="both"/>
            </w:pPr>
            <w:r>
              <w:rPr>
                <w:rFonts w:ascii="仿宋_GB2312" w:hAnsi="仿宋_GB2312" w:cs="仿宋_GB2312" w:eastAsia="仿宋_GB2312"/>
                <w:sz w:val="21"/>
                <w:color w:val="000000"/>
              </w:rPr>
              <w:t>本项目所属行业为</w:t>
            </w:r>
            <w:r>
              <w:rPr>
                <w:rFonts w:ascii="仿宋_GB2312" w:hAnsi="仿宋_GB2312" w:cs="仿宋_GB2312" w:eastAsia="仿宋_GB2312"/>
                <w:sz w:val="21"/>
                <w:color w:val="000000"/>
              </w:rPr>
              <w:t>:</w:t>
            </w:r>
            <w:r>
              <w:rPr>
                <w:rFonts w:ascii="仿宋_GB2312" w:hAnsi="仿宋_GB2312" w:cs="仿宋_GB2312" w:eastAsia="仿宋_GB2312"/>
                <w:sz w:val="21"/>
                <w:color w:val="000000"/>
                <w:u w:val="single"/>
              </w:rPr>
              <w:t xml:space="preserve"> 其他未列明行业</w:t>
            </w:r>
            <w:r>
              <w:rPr>
                <w:rFonts w:ascii="仿宋_GB2312" w:hAnsi="仿宋_GB2312" w:cs="仿宋_GB2312" w:eastAsia="仿宋_GB2312"/>
                <w:sz w:val="21"/>
                <w:color w:val="000000"/>
              </w:rPr>
              <w:t>（从业人员</w:t>
            </w:r>
            <w:r>
              <w:rPr>
                <w:rFonts w:ascii="仿宋_GB2312" w:hAnsi="仿宋_GB2312" w:cs="仿宋_GB2312" w:eastAsia="仿宋_GB2312"/>
                <w:sz w:val="21"/>
                <w:color w:val="000000"/>
              </w:rPr>
              <w:t>300人以下的为中小微型企业。其中，从业人员100人及以上的为中型企业；从业人员10人及以上的为小型企业；从业人员10人以下的为微型企业）。</w:t>
            </w:r>
          </w:p>
          <w:p>
            <w:pPr>
              <w:pStyle w:val="null3"/>
              <w:ind w:firstLine="4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服务方按项目服务要求及特性，自行组织实施与管理，建立以负责人为核心的履行合同所必需人员团队，相关人员经过严格培训，有相关工作经验，能够胜任项目工作，保证项目顺利实施。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（1）依照规范标准提交相应成果报告资料，包括纸质成果与电子成果； （2）所有提供资料包括：①纸质成果采用 A4 幅面双面印刷装订，一式 8 份，加盖公章；②电子成果为与纸质成果相对应的电子文档（pdf 格式）、城市体检数据库及相关附件，以 U 盘形式提供 2 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根据有关规范、规定及项目要求对服务进行检查或考核，服务方须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和服务，采购人有权按违约予以撤项，由此产生的一切责任和费用均由服务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成果通过采购人验收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它相关的一切费用；包括但不限于：服务费、人工费、设备使用费、编制费、资料费、后期服务费、管理费、验收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政府采购货物和服务招标投标管理办法》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注：根据“资格证明文件”中提供的要求和说明，提供符合自身条件的主体资格证明材料。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法定代表人（单位负责人）身份证明/法定代表人（单位负责人）授权委托书</w:t>
            </w:r>
          </w:p>
        </w:tc>
        <w:tc>
          <w:tcPr>
            <w:tcW w:type="dxa" w:w="3322"/>
          </w:tcPr>
          <w:p>
            <w:pPr>
              <w:pStyle w:val="null3"/>
            </w:pPr>
            <w:r>
              <w:rPr>
                <w:rFonts w:ascii="仿宋_GB2312" w:hAnsi="仿宋_GB2312" w:cs="仿宋_GB2312" w:eastAsia="仿宋_GB2312"/>
              </w:rPr>
              <w:t>（1）法定代表人（单位负责人）参加响应的，提供法定代表人（单位负责人）身份证。 （2）法定代表人（单位负责人）授权他人参加响应的，提供法定代表人（单位负责人）委托授权书及被授权代表的身份证和被授权代表至提交响应文件截止时间前三个月内任意时段在本单位注册的已缴纳的社会保障资金缴存单据或社保机构开具的社会保险参保缴费情况证明。 注：根据“资格证明文件”中提供的格式和说明，提供符合自身条件的证明材料。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健全的财务状况</w:t>
            </w:r>
          </w:p>
        </w:tc>
        <w:tc>
          <w:tcPr>
            <w:tcW w:type="dxa" w:w="3322"/>
          </w:tcPr>
          <w:p>
            <w:pPr>
              <w:pStyle w:val="null3"/>
            </w:pPr>
            <w:r>
              <w:rPr>
                <w:rFonts w:ascii="仿宋_GB2312" w:hAnsi="仿宋_GB2312" w:cs="仿宋_GB2312" w:eastAsia="仿宋_GB2312"/>
              </w:rPr>
              <w:t>注：根据“资格证明文件”中提供的要求和说明，提供符合自身条件的财务状况证明材料。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注：根据“资格证明文件”中提供的要求和说明，提供符合自身条件的税收缴纳证明材料。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注：根据“资格证明文件”中提供的要求和说明，提供符合自身条件的社会保障资金缴纳证明材料。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注：根据“资格证明文件”中提供的格式和说明进行响应。</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注：根据“资格证明文件”中提供的格式和说明进行响应声明。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供应商需具有城乡规划（国土空间规划）编制乙级及以上资质（含乙级）</w:t>
            </w:r>
          </w:p>
        </w:tc>
        <w:tc>
          <w:tcPr>
            <w:tcW w:type="dxa" w:w="3322"/>
          </w:tcPr>
          <w:p>
            <w:pPr>
              <w:pStyle w:val="null3"/>
            </w:pPr>
            <w:r>
              <w:rPr>
                <w:rFonts w:ascii="仿宋_GB2312" w:hAnsi="仿宋_GB2312" w:cs="仿宋_GB2312" w:eastAsia="仿宋_GB2312"/>
              </w:rPr>
              <w:t>供应商需具有城乡规划（国土空间规划）编制乙级及以上资质（含乙级）</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资格证明文件 中小企业声明函 残疾人福利性单位声明函 商务、技术文件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资格证明文件 商务、技术文件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服务期限、服务地点、服务质量</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根据对项目的理解情况，主要包括①工作背景、②形势分析、③总体思路、④工作依据的响应程度。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指标解读</w:t>
            </w:r>
          </w:p>
        </w:tc>
        <w:tc>
          <w:tcPr>
            <w:tcW w:type="dxa" w:w="2492"/>
          </w:tcPr>
          <w:p>
            <w:pPr>
              <w:pStyle w:val="null3"/>
            </w:pPr>
            <w:r>
              <w:rPr>
                <w:rFonts w:ascii="仿宋_GB2312" w:hAnsi="仿宋_GB2312" w:cs="仿宋_GB2312" w:eastAsia="仿宋_GB2312"/>
              </w:rPr>
              <w:t>根据对项目城市体检指标体系的理解程度，主要包括①城市体检指标体系、②单项指标的内涵的响应程度。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重点、难点分析及解决对策</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数据采集</w:t>
            </w:r>
          </w:p>
        </w:tc>
        <w:tc>
          <w:tcPr>
            <w:tcW w:type="dxa" w:w="2492"/>
          </w:tcPr>
          <w:p>
            <w:pPr>
              <w:pStyle w:val="null3"/>
            </w:pPr>
            <w:r>
              <w:rPr>
                <w:rFonts w:ascii="仿宋_GB2312" w:hAnsi="仿宋_GB2312" w:cs="仿宋_GB2312" w:eastAsia="仿宋_GB2312"/>
              </w:rPr>
              <w:t>据对项目的数据支撑和处理能力，主要包括①数据支撑能力、②数据收集方式、③数据质量控制、④数据处理分析方法的响应程度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根据实施方案的①目标计划、②思路方法、③技术路线的响应程度。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根据对服务质量的①依据标准、②问题处理对策、③保障措施的响应程度。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根据对后续服务的①方案措施和②后续服务质量保证的响应程度。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项目负责人具有注册城乡规划师执业资格的得3分，不具有不得分。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p>
            <w:pPr>
              <w:pStyle w:val="null3"/>
            </w:pPr>
            <w:r>
              <w:rPr>
                <w:rFonts w:ascii="仿宋_GB2312" w:hAnsi="仿宋_GB2312" w:cs="仿宋_GB2312" w:eastAsia="仿宋_GB2312"/>
              </w:rPr>
              <w:t>资格证明文件</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①项目组成人员中具有高级职称的，每有一人得1分，最高得3分； ②项目组成人员的中专业包括：城市（城乡）规划、建筑学、地理信息系统、计算机科学与技术、测绘工程等相关专业的，每配备1位专业人员的得1分，最高得4分； 说明：项目组成人员不含项目负责人，职称和专业同时具备或同时具有≥2专业的均不重复计分（一人最多只能得1分）；相关证明材料不限于：职称证、执业资格、毕业证书等。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具有2022年1月1日起至今（以合同签订时间为准）类似项目业绩，业绩以合同扫描件（复印件）为依据；每提供1个业绩得2分，最多得10分。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 财库〔2020〕46号文件的规定，采用低价优先法计算，以本次满足磋商文件要求的最终最低评审价为磋商基准价，其磋商报价为满分。其他供应商的价格分，统一按照下列公式计算：磋商评审价=磋商最后报价×（1-磋商报价扣除幅度 ）， 磋商报价得分=(磋商基准价／磋商评审价)×20 ；（最低报价不是中标(成交)的唯一依据。因落实政府采购政策进行价格调整的，以调整后的价格计算评标基准价和响应报价）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承接服务的供应商为符合政策要求的小微企业时，用扣除后的价格参加评审。即：评审价=最后报价*（1-10%）; 注：监狱企业与残疾人福利性单位视同小型、微型企业，当企业属性重复时，不重复价格扣除，只要有大中型企业提供服务情形的，就不得享受价格扣除优惠政策。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详见附件：商务、技术文件</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