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77719">
      <w:pPr>
        <w:pStyle w:val="4"/>
        <w:widowControl/>
        <w:shd w:val="clear" w:color="auto" w:fill="FFFFFF"/>
        <w:spacing w:beforeAutospacing="0" w:afterAutospacing="0" w:line="450" w:lineRule="atLeast"/>
        <w:jc w:val="center"/>
        <w:outlineLvl w:val="0"/>
        <w:rPr>
          <w:rFonts w:hint="eastAsia" w:ascii="宋体" w:hAnsi="宋体" w:eastAsia="宋体" w:cs="宋体"/>
          <w:color w:val="333333"/>
          <w:sz w:val="39"/>
          <w:szCs w:val="39"/>
          <w:highlight w:val="yellow"/>
        </w:rPr>
      </w:pPr>
      <w:r>
        <w:rPr>
          <w:rFonts w:hint="eastAsia" w:ascii="宋体" w:hAnsi="宋体" w:eastAsia="宋体" w:cs="宋体"/>
          <w:color w:val="333333"/>
          <w:sz w:val="39"/>
          <w:szCs w:val="39"/>
          <w:highlight w:val="none"/>
          <w:shd w:val="clear" w:color="auto" w:fill="FFFFFF"/>
        </w:rPr>
        <w:t>第八章 拟签订采购合同文本</w:t>
      </w:r>
    </w:p>
    <w:p w14:paraId="2A181BC7">
      <w:pPr>
        <w:spacing w:before="156" w:beforeLines="50" w:after="156" w:afterLines="50" w:line="360" w:lineRule="auto"/>
        <w:jc w:val="center"/>
        <w:rPr>
          <w:rFonts w:hint="eastAsia" w:ascii="宋体" w:hAnsi="宋体" w:eastAsia="宋体" w:cs="宋体"/>
          <w:b/>
          <w:szCs w:val="32"/>
          <w:highlight w:val="none"/>
        </w:rPr>
      </w:pPr>
      <w:r>
        <w:rPr>
          <w:rFonts w:hint="eastAsia" w:ascii="宋体" w:hAnsi="宋体" w:eastAsia="宋体" w:cs="宋体"/>
          <w:b/>
          <w:szCs w:val="32"/>
          <w:highlight w:val="none"/>
        </w:rPr>
        <w:t>(本合同仅供参考 具体以双方签订为准）</w:t>
      </w:r>
    </w:p>
    <w:p w14:paraId="50429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en-US" w:eastAsia="zh-CN" w:bidi="ar-SA"/>
        </w:rPr>
      </w:pPr>
    </w:p>
    <w:p w14:paraId="014A5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en-US" w:eastAsia="zh-CN" w:bidi="ar-SA"/>
        </w:rPr>
        <w:t>2025年残疾人精准康复家庭医生签约项目</w:t>
      </w:r>
    </w:p>
    <w:p w14:paraId="6C5F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highlight w:val="none"/>
          <w:lang w:val="en-US" w:eastAsia="zh-CN" w:bidi="ar-SA"/>
        </w:rPr>
        <w:t>（采购包   ）</w:t>
      </w:r>
    </w:p>
    <w:p w14:paraId="43906325">
      <w:pPr>
        <w:widowControl w:val="0"/>
        <w:spacing w:after="120" w:line="259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3E6CE2CF">
      <w:pPr>
        <w:widowControl w:val="0"/>
        <w:spacing w:after="120" w:line="259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21428072">
      <w:pPr>
        <w:widowControl w:val="0"/>
        <w:spacing w:after="120" w:line="259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23E22567">
      <w:pPr>
        <w:bidi w:val="0"/>
        <w:rPr>
          <w:rFonts w:hint="eastAsia"/>
          <w:lang w:val="en-US" w:eastAsia="zh-CN"/>
        </w:rPr>
      </w:pPr>
    </w:p>
    <w:p w14:paraId="36BA04DF">
      <w:pPr>
        <w:bidi w:val="0"/>
        <w:rPr>
          <w:rFonts w:hint="eastAsia"/>
          <w:b w:val="0"/>
          <w:bCs w:val="0"/>
          <w:lang w:val="en-US" w:eastAsia="zh-CN"/>
        </w:rPr>
      </w:pPr>
    </w:p>
    <w:p w14:paraId="2F0A6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highlight w:val="none"/>
          <w:lang w:val="en-US" w:eastAsia="zh-CN" w:bidi="ar-SA"/>
        </w:rPr>
        <w:t>采购合同</w:t>
      </w:r>
    </w:p>
    <w:p w14:paraId="653E56E9"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hint="eastAsia" w:ascii="宋体" w:hAnsi="宋体" w:eastAsia="宋体" w:cs="宋体"/>
          <w:b w:val="0"/>
          <w:bCs w:val="0"/>
          <w:color w:val="000000"/>
          <w:kern w:val="44"/>
          <w:sz w:val="36"/>
          <w:szCs w:val="20"/>
          <w:highlight w:val="none"/>
          <w:lang w:val="en-US" w:eastAsia="zh-CN" w:bidi="ar-SA"/>
        </w:rPr>
      </w:pPr>
    </w:p>
    <w:p w14:paraId="2EA7D8AF">
      <w:pPr>
        <w:spacing w:before="244" w:line="225" w:lineRule="auto"/>
        <w:ind w:left="2251" w:firstLine="930" w:firstLineChars="300"/>
        <w:rPr>
          <w:rFonts w:hint="eastAsia" w:ascii="宋体" w:hAnsi="宋体" w:eastAsia="宋体" w:cs="宋体"/>
          <w:b w:val="0"/>
          <w:bCs w:val="0"/>
          <w:color w:val="000000"/>
          <w:sz w:val="31"/>
          <w:szCs w:val="31"/>
          <w:highlight w:val="none"/>
        </w:rPr>
      </w:pPr>
    </w:p>
    <w:p w14:paraId="6DB7AE41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399F5B68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33FF9BC8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41E2CA4A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258C0BBA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52C83015">
      <w:pPr>
        <w:widowControl w:val="0"/>
        <w:spacing w:after="120" w:line="24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2129959B">
      <w:pPr>
        <w:widowControl w:val="0"/>
        <w:spacing w:after="120" w:line="243" w:lineRule="auto"/>
        <w:jc w:val="center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30958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采购人：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西安市未央区残疾人联合会</w:t>
      </w:r>
    </w:p>
    <w:p w14:paraId="51E22CE0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620551E6">
      <w:pPr>
        <w:widowControl w:val="0"/>
        <w:spacing w:after="120" w:line="243" w:lineRule="auto"/>
        <w:ind w:firstLine="2249" w:firstLineChars="800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成交供应商：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u w:val="single"/>
          <w:lang w:val="en-US" w:eastAsia="zh-CN" w:bidi="ar-SA"/>
        </w:rPr>
        <w:t xml:space="preserve"> </w:t>
      </w:r>
    </w:p>
    <w:p w14:paraId="581F2CF6">
      <w:pPr>
        <w:widowControl w:val="0"/>
        <w:spacing w:after="120" w:line="273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4459A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二〇二五年   月  日</w:t>
      </w:r>
    </w:p>
    <w:p w14:paraId="6F4E2DAF">
      <w:pPr>
        <w:spacing w:line="225" w:lineRule="auto"/>
        <w:rPr>
          <w:rFonts w:hint="eastAsia" w:ascii="宋体" w:hAnsi="宋体" w:eastAsia="宋体" w:cs="宋体"/>
          <w:b w:val="0"/>
          <w:bCs w:val="0"/>
          <w:color w:val="000000"/>
          <w:sz w:val="31"/>
          <w:szCs w:val="31"/>
          <w:highlight w:val="none"/>
        </w:rPr>
        <w:sectPr>
          <w:footerReference r:id="rId3" w:type="default"/>
          <w:pgSz w:w="11905" w:h="16839"/>
          <w:pgMar w:top="1417" w:right="1417" w:bottom="1417" w:left="1417" w:header="878" w:footer="972" w:gutter="0"/>
          <w:pgNumType w:fmt="decimal"/>
          <w:cols w:space="720" w:num="1"/>
        </w:sectPr>
      </w:pPr>
    </w:p>
    <w:p w14:paraId="4E400D5A">
      <w:pPr>
        <w:tabs>
          <w:tab w:val="left" w:pos="735"/>
        </w:tabs>
        <w:autoSpaceDE w:val="0"/>
        <w:autoSpaceDN w:val="0"/>
        <w:adjustRightInd w:val="0"/>
        <w:snapToGrid w:val="0"/>
        <w:spacing w:line="42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zh-CN"/>
        </w:rPr>
        <w:t>（此合同草案条款，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采购人和成交供应商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zh-CN"/>
        </w:rPr>
        <w:t>所签订的合同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不得对磋商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zh-CN"/>
        </w:rPr>
        <w:t>文件确定的事项和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成交供应商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zh-CN"/>
        </w:rPr>
        <w:t>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val="zh-CN"/>
        </w:rPr>
        <w:t>文件做实质性修改，最终签订的合同以采购人确定的合同内容为准。）</w:t>
      </w:r>
    </w:p>
    <w:p w14:paraId="78A2EFEB">
      <w:pPr>
        <w:spacing w:before="65" w:line="360" w:lineRule="auto"/>
        <w:ind w:left="448"/>
        <w:rPr>
          <w:rFonts w:hint="eastAsia" w:ascii="宋体" w:hAnsi="宋体" w:eastAsia="宋体" w:cs="宋体"/>
          <w:color w:val="000000"/>
          <w:spacing w:val="4"/>
          <w:sz w:val="20"/>
          <w:szCs w:val="20"/>
          <w:highlight w:val="none"/>
        </w:rPr>
      </w:pPr>
    </w:p>
    <w:p w14:paraId="7BC17782">
      <w:pPr>
        <w:spacing w:before="65" w:line="360" w:lineRule="auto"/>
        <w:ind w:left="448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甲方（采购人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/>
        </w:rPr>
        <w:t>西安市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/>
          <w:lang w:val="en-US" w:eastAsia="zh-CN"/>
        </w:rPr>
        <w:t>未央区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/>
        </w:rPr>
        <w:t>残疾人联合会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 w14:paraId="0234FE46">
      <w:pPr>
        <w:spacing w:line="360" w:lineRule="auto"/>
        <w:ind w:left="441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2"/>
          <w:sz w:val="24"/>
          <w:szCs w:val="24"/>
          <w:highlight w:val="none"/>
          <w:lang w:val="en-US" w:eastAsia="zh-CN"/>
        </w:rPr>
        <w:t>乙方（</w:t>
      </w:r>
      <w:r>
        <w:rPr>
          <w:rFonts w:hint="eastAsia" w:ascii="宋体" w:hAnsi="宋体" w:eastAsia="宋体" w:cs="宋体"/>
          <w:color w:val="000000"/>
          <w:spacing w:val="2"/>
          <w:sz w:val="24"/>
          <w:szCs w:val="24"/>
          <w:highlight w:val="none"/>
        </w:rPr>
        <w:t>成交供应商</w:t>
      </w:r>
      <w:r>
        <w:rPr>
          <w:rFonts w:hint="eastAsia" w:ascii="宋体" w:hAnsi="宋体" w:eastAsia="宋体" w:cs="宋体"/>
          <w:color w:val="000000"/>
          <w:spacing w:val="2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000000"/>
          <w:spacing w:val="2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 w:color="auto"/>
        </w:rPr>
        <w:t xml:space="preserve">                             </w:t>
      </w:r>
    </w:p>
    <w:p w14:paraId="3E7EF4D5">
      <w:pPr>
        <w:spacing w:before="243" w:line="360" w:lineRule="auto"/>
        <w:ind w:firstLine="512" w:firstLineChars="200"/>
        <w:rPr>
          <w:rFonts w:hint="eastAsia" w:ascii="宋体" w:hAnsi="宋体" w:eastAsia="宋体" w:cs="宋体"/>
          <w:color w:val="000000"/>
          <w:spacing w:val="8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8"/>
          <w:sz w:val="24"/>
          <w:szCs w:val="24"/>
          <w:highlight w:val="none"/>
        </w:rPr>
        <w:t>根据《中华人民共和国民法典》和《中华人民共和国政府采购法》有关规定，结合项目实际，经甲、乙双方协商，签订本合同，共同信守。</w:t>
      </w:r>
    </w:p>
    <w:p w14:paraId="17191B8D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</w:rPr>
        <w:t>合同内容</w:t>
      </w:r>
    </w:p>
    <w:p w14:paraId="3D4B79C4">
      <w:pPr>
        <w:spacing w:before="243" w:line="360" w:lineRule="auto"/>
        <w:ind w:firstLine="512" w:firstLineChars="200"/>
        <w:rPr>
          <w:rFonts w:hint="eastAsia" w:ascii="宋体" w:hAnsi="宋体" w:eastAsia="宋体" w:cs="宋体"/>
          <w:color w:val="000000"/>
          <w:spacing w:val="8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8"/>
          <w:sz w:val="24"/>
          <w:szCs w:val="24"/>
          <w:highlight w:val="none"/>
          <w:u w:val="single"/>
          <w:lang w:val="en-US" w:eastAsia="zh-CN"/>
        </w:rPr>
        <w:t>西安市未央区残疾人联合会2025年残疾人精准康复家庭医生签约项目，通过家庭医生与未央区持证残疾人签约，为他们提供相应的基本医疗服务、公共卫生服务、健康管理服务、基本康复服务及入户精准康复服务等，提高残疾人的生活、学习和工作质量。</w:t>
      </w:r>
    </w:p>
    <w:p w14:paraId="01FC2A6E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二、合同价款</w:t>
      </w:r>
    </w:p>
    <w:p w14:paraId="4F2F0A3B">
      <w:pPr>
        <w:spacing w:before="242" w:line="360" w:lineRule="auto"/>
        <w:ind w:firstLine="508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合同总价款(人民币/元)暂定为：大写：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single" w:color="auto"/>
        </w:rPr>
        <w:t xml:space="preserve">            </w:t>
      </w:r>
      <w:r>
        <w:rPr>
          <w:rFonts w:hint="eastAsia" w:ascii="宋体" w:hAnsi="宋体" w:eastAsia="宋体" w:cs="宋体"/>
          <w:color w:val="000000"/>
          <w:spacing w:val="-8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小写：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 w:color="auto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 w:color="auto"/>
          <w:lang w:val="en-US" w:eastAsia="zh-CN"/>
        </w:rPr>
        <w:t>最终根据实际服务人数及次数据实结算费用</w:t>
      </w:r>
      <w:r>
        <w:rPr>
          <w:rFonts w:hint="eastAsia" w:ascii="宋体" w:hAnsi="宋体" w:eastAsia="宋体" w:cs="宋体"/>
          <w:color w:val="000000"/>
          <w:spacing w:val="10"/>
          <w:sz w:val="24"/>
          <w:szCs w:val="24"/>
          <w:highlight w:val="none"/>
          <w:u w:val="none" w:color="auto"/>
          <w:lang w:val="en-US" w:eastAsia="zh-CN"/>
        </w:rPr>
        <w:t>。</w:t>
      </w:r>
    </w:p>
    <w:p w14:paraId="3FBE2EC3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三、款项结算</w:t>
      </w:r>
    </w:p>
    <w:p w14:paraId="2F6C08FB">
      <w:pPr>
        <w:spacing w:before="240" w:line="360" w:lineRule="auto"/>
        <w:ind w:right="56" w:firstLine="508" w:firstLineChars="200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（一）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 xml:space="preserve">结算方式：最终根据实际服务人数及次数据实结算费用，达到付款条件起30日内，支付合同总金额的100.00%。 </w:t>
      </w:r>
      <w:bookmarkStart w:id="0" w:name="_GoBack"/>
      <w:bookmarkEnd w:id="0"/>
    </w:p>
    <w:p w14:paraId="67E57E72">
      <w:pPr>
        <w:spacing w:before="242" w:line="360" w:lineRule="auto"/>
        <w:ind w:left="452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（二）支付方式：银行转账。</w:t>
      </w:r>
    </w:p>
    <w:p w14:paraId="1AD96032">
      <w:pPr>
        <w:spacing w:before="240" w:line="360" w:lineRule="auto"/>
        <w:ind w:left="452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none" w:color="auto"/>
        </w:rPr>
        <w:t>（三）</w:t>
      </w:r>
      <w:r>
        <w:rPr>
          <w:rFonts w:hint="eastAsia" w:ascii="宋体" w:hAnsi="宋体" w:eastAsia="宋体" w:cs="宋体"/>
          <w:color w:val="000000"/>
          <w:spacing w:val="-37"/>
          <w:sz w:val="24"/>
          <w:szCs w:val="24"/>
          <w:highlight w:val="none"/>
          <w:u w:val="none" w:color="auto"/>
        </w:rPr>
        <w:t xml:space="preserve"> 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none" w:color="auto"/>
        </w:rPr>
        <w:t>甲方付款前，乙方须开具等额发票。</w:t>
      </w:r>
    </w:p>
    <w:p w14:paraId="3EDC7311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四、服务期及服务地点</w:t>
      </w:r>
    </w:p>
    <w:p w14:paraId="2C18746C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（1）服务期限：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>自合同签订之日起至本年末。</w:t>
      </w:r>
    </w:p>
    <w:p w14:paraId="04DE9FDF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（2）服务地点：采购人指定地点。</w:t>
      </w:r>
    </w:p>
    <w:p w14:paraId="2874B229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五、双方权力和义务</w:t>
      </w:r>
    </w:p>
    <w:p w14:paraId="520B7B39">
      <w:pPr>
        <w:spacing w:before="240" w:line="360" w:lineRule="auto"/>
        <w:ind w:left="452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8"/>
          <w:sz w:val="24"/>
          <w:szCs w:val="24"/>
          <w:highlight w:val="none"/>
        </w:rPr>
        <w:t>（一）甲方的权利和义务</w:t>
      </w:r>
    </w:p>
    <w:p w14:paraId="7C89F51A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23240F05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2.甲方有权对乙方提供的服务进行定期考评。</w:t>
      </w:r>
    </w:p>
    <w:p w14:paraId="664E4887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3.负责检查监督乙方管理工作的实施及制度的执行情况。</w:t>
      </w:r>
    </w:p>
    <w:p w14:paraId="02FEF3E5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4.根据本合同规定，按时向乙方支付应付服务费用。</w:t>
      </w:r>
    </w:p>
    <w:p w14:paraId="3BCF78FB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5.国家法律、法规所规定由甲方承担的其它责任。</w:t>
      </w:r>
    </w:p>
    <w:p w14:paraId="1BB3871C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（二）乙方的权利和义务</w:t>
      </w:r>
    </w:p>
    <w:p w14:paraId="7E4E4287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1.对本合同规定的委托服务范围内的项目享有管理权及服务义务。</w:t>
      </w:r>
    </w:p>
    <w:p w14:paraId="3E49824E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2.根据本合同的规定向甲方收取相关服务费用，并有权在本项目管理范围内管理及合理使用。</w:t>
      </w:r>
    </w:p>
    <w:p w14:paraId="51EFDF61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3.及时向甲方通告本项目服务范围内有关服务的重大事项，及时配合处理投诉。</w:t>
      </w:r>
    </w:p>
    <w:p w14:paraId="78A11347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4.接受项目行业管理部门及政府有关部门的指导，接受甲方的监督。</w:t>
      </w:r>
    </w:p>
    <w:p w14:paraId="030C4197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5.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严格执行国家的法律法规和甲方行业的相关规定，守法经营，按章办事，自觉维护甲方的利益。</w:t>
      </w:r>
    </w:p>
    <w:p w14:paraId="690CB596">
      <w:pPr>
        <w:spacing w:before="240" w:line="360" w:lineRule="auto"/>
        <w:ind w:left="24" w:right="56" w:firstLine="432"/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有义务对所有来自甲方的信息严格保密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未经甲方许可，不得擅自向任何第三方披露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。</w:t>
      </w:r>
    </w:p>
    <w:p w14:paraId="49EBB7C2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.国家法律、法规所规定由乙方承担的其它责任。</w:t>
      </w:r>
    </w:p>
    <w:p w14:paraId="397323B3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六、违约责任</w:t>
      </w:r>
    </w:p>
    <w:p w14:paraId="63049B21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（一）按《中华人民共和国民法典》中的相关条款执行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。</w:t>
      </w:r>
    </w:p>
    <w:p w14:paraId="4809DB80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（二）乙方未按合同要求提供服务或提供的服务质量不能满足技术要求，且在规定时间内未使甲方满意的，甲方有权终止合同，同时报请监管部门对其违约行为进行追究。</w:t>
      </w:r>
    </w:p>
    <w:p w14:paraId="32A07C28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（三）甲乙双方必须遵守本合同并执行合同中的各项规定，保证本合同的正常履行。</w:t>
      </w:r>
    </w:p>
    <w:p w14:paraId="673AFA36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>四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6D86C75">
      <w:pPr>
        <w:widowControl/>
        <w:spacing w:before="240" w:line="360" w:lineRule="auto"/>
        <w:ind w:left="24" w:right="56" w:firstLine="432" w:firstLineChars="0"/>
        <w:jc w:val="both"/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五）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乙方</w:t>
      </w:r>
      <w:r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  <w:t>有下列情形之一的，</w:t>
      </w:r>
      <w:r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  <w:lang w:val="en-US" w:eastAsia="zh-CN"/>
        </w:rPr>
        <w:t>视为乙方根本违约，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甲方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有权单方解除本合同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，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并要求乙方赔偿因此给甲方造成的全部损失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。</w:t>
      </w:r>
    </w:p>
    <w:p w14:paraId="1290848F">
      <w:pPr>
        <w:numPr>
          <w:ilvl w:val="-1"/>
          <w:numId w:val="0"/>
        </w:numPr>
        <w:spacing w:before="240" w:line="360" w:lineRule="auto"/>
        <w:ind w:left="24" w:right="56" w:firstLine="432" w:firstLineChars="0"/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  <w:t>将采购合同业务转包或分包给其他供应商；</w:t>
      </w:r>
    </w:p>
    <w:p w14:paraId="139165A1">
      <w:pPr>
        <w:numPr>
          <w:ilvl w:val="-1"/>
          <w:numId w:val="0"/>
        </w:numPr>
        <w:spacing w:before="240" w:line="360" w:lineRule="auto"/>
        <w:ind w:left="24" w:right="56" w:firstLine="432" w:firstLineChars="0"/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2.服务人员不具备服务能力及服务资质的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；</w:t>
      </w:r>
    </w:p>
    <w:p w14:paraId="1028A709">
      <w:pPr>
        <w:numPr>
          <w:ilvl w:val="-1"/>
          <w:numId w:val="0"/>
        </w:numPr>
        <w:spacing w:before="240" w:line="360" w:lineRule="auto"/>
        <w:ind w:left="24" w:right="56" w:firstLine="432" w:firstLineChars="0"/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3.检查监督或定期考评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中发现有不合格的且在规定整改时限后经检查再次不</w:t>
      </w:r>
    </w:p>
    <w:p w14:paraId="28CF0D58">
      <w:pPr>
        <w:numPr>
          <w:ilvl w:val="-1"/>
          <w:numId w:val="0"/>
        </w:numPr>
        <w:spacing w:before="240" w:line="360" w:lineRule="auto"/>
        <w:ind w:left="0" w:right="56" w:firstLine="0" w:firstLineChars="0"/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合格的；</w:t>
      </w:r>
    </w:p>
    <w:p w14:paraId="21648B76">
      <w:pPr>
        <w:numPr>
          <w:ilvl w:val="-1"/>
          <w:numId w:val="0"/>
        </w:numPr>
        <w:spacing w:before="240" w:line="360" w:lineRule="auto"/>
        <w:ind w:left="24" w:right="56" w:firstLine="432" w:firstLineChars="0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4.未按照甲方指定的时间、地点提供相应服务的；</w:t>
      </w:r>
    </w:p>
    <w:p w14:paraId="323BB19D">
      <w:pPr>
        <w:numPr>
          <w:ilvl w:val="-1"/>
          <w:numId w:val="0"/>
        </w:numPr>
        <w:spacing w:before="240" w:line="360" w:lineRule="auto"/>
        <w:ind w:left="24" w:right="56" w:firstLine="432" w:firstLineChars="0"/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</w:rPr>
        <w:t>提供虚假材料谋取中标、成交的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</w:rPr>
        <w:t>采取不正当手段诋毁、排挤其他供应商的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</w:rPr>
        <w:t>与其他供应商或者采购代理机构恶意串通的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val="en-US" w:eastAsia="zh-CN"/>
        </w:rPr>
        <w:t>或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</w:rPr>
        <w:t>向采购代理机构行贿或者提供其他不正当利益的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eastAsia="zh-CN"/>
        </w:rPr>
        <w:t>；</w:t>
      </w:r>
    </w:p>
    <w:p w14:paraId="76BE6938">
      <w:pPr>
        <w:numPr>
          <w:ilvl w:val="-1"/>
          <w:numId w:val="0"/>
        </w:numPr>
        <w:spacing w:before="240" w:line="360" w:lineRule="auto"/>
        <w:ind w:left="24" w:right="56" w:firstLine="432" w:firstLineChars="0"/>
        <w:rPr>
          <w:rFonts w:hint="eastAsia" w:ascii="宋体" w:hAnsi="宋体" w:eastAsia="宋体" w:cs="宋体"/>
          <w:color w:val="000000"/>
          <w:spacing w:val="7"/>
          <w:kern w:val="2"/>
          <w:sz w:val="24"/>
          <w:highlight w:val="none"/>
          <w:u w:val="none" w:color="auto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pacing w:val="7"/>
          <w:sz w:val="24"/>
          <w:highlight w:val="none"/>
          <w:u w:val="none" w:color="auto"/>
        </w:rPr>
        <w:t>其他违反招标活动规定，触犯国家招标投标法律法规、廉政规定的行为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7"/>
          <w:sz w:val="24"/>
          <w:szCs w:val="24"/>
          <w:highlight w:val="none"/>
          <w:u w:val="none" w:color="auto"/>
          <w:shd w:val="clear"/>
          <w:lang w:eastAsia="zh-CN"/>
        </w:rPr>
        <w:t>。</w:t>
      </w:r>
    </w:p>
    <w:p w14:paraId="77D63711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七、合同的变更和终止</w:t>
      </w:r>
    </w:p>
    <w:p w14:paraId="32AFA82F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除《中华人民共和国政府采购法》第49条、第50条第二款规定的情形外，本合同一经签订，甲乙双方不得擅自变更、中止或终止合同。</w:t>
      </w:r>
    </w:p>
    <w:p w14:paraId="68E08DE4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八、合同争议</w:t>
      </w:r>
    </w:p>
    <w:p w14:paraId="073A65AB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本合同在履行过程中发生的争议的，由甲、乙方协商解决；协商或不成的，依法向甲方所在地人民法院起诉解决。</w:t>
      </w:r>
    </w:p>
    <w:p w14:paraId="6E873156">
      <w:pPr>
        <w:spacing w:before="243" w:line="360" w:lineRule="auto"/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8"/>
          <w:sz w:val="24"/>
          <w:szCs w:val="24"/>
          <w:highlight w:val="none"/>
          <w:lang w:val="en-US" w:eastAsia="zh-CN"/>
        </w:rPr>
        <w:t>九、合同生效</w:t>
      </w:r>
    </w:p>
    <w:p w14:paraId="7C3F5B35">
      <w:pPr>
        <w:spacing w:before="240" w:line="360" w:lineRule="auto"/>
        <w:ind w:left="24" w:right="56" w:firstLine="432"/>
        <w:jc w:val="both"/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（一）合同未尽事宜，由甲、乙双方协商，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文件、乙方的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  <w:u w:val="none" w:color="auto"/>
          <w:lang w:eastAsia="zh-CN"/>
        </w:rPr>
        <w:t>文件及评标过程中的澄清、承诺内容均作为本合同的组成部分，具有同等法律效力。</w:t>
      </w:r>
    </w:p>
    <w:p w14:paraId="6A27EFBB">
      <w:pPr>
        <w:spacing w:before="241" w:line="360" w:lineRule="auto"/>
        <w:ind w:left="452"/>
        <w:rPr>
          <w:rFonts w:hint="eastAsia" w:ascii="宋体" w:hAnsi="宋体" w:eastAsia="宋体" w:cs="宋体"/>
          <w:color w:val="000000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（二）本合同一式</w:t>
      </w:r>
      <w:r>
        <w:rPr>
          <w:rFonts w:hint="eastAsia" w:ascii="宋体" w:hAnsi="宋体" w:eastAsia="宋体" w:cs="宋体"/>
          <w:color w:val="000000"/>
          <w:spacing w:val="-9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000000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份，</w:t>
      </w:r>
      <w:r>
        <w:rPr>
          <w:rFonts w:hint="eastAsia" w:ascii="宋体" w:hAnsi="宋体" w:eastAsia="宋体" w:cs="宋体"/>
          <w:color w:val="000000"/>
          <w:spacing w:val="-5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甲方、乙方各执</w:t>
      </w:r>
      <w:r>
        <w:rPr>
          <w:rFonts w:hint="eastAsia" w:ascii="宋体" w:hAnsi="宋体" w:eastAsia="宋体" w:cs="宋体"/>
          <w:color w:val="000000"/>
          <w:spacing w:val="-9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5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000000"/>
          <w:spacing w:val="-9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  <w:highlight w:val="none"/>
        </w:rPr>
        <w:t>份。</w:t>
      </w:r>
      <w:r>
        <w:rPr>
          <w:rFonts w:hint="eastAsia" w:ascii="宋体" w:hAnsi="宋体" w:eastAsia="宋体" w:cs="宋体"/>
          <w:color w:val="000000"/>
          <w:spacing w:val="6"/>
          <w:sz w:val="24"/>
          <w:szCs w:val="24"/>
          <w:highlight w:val="none"/>
        </w:rPr>
        <w:t>双方签字盖章后生效。</w:t>
      </w:r>
    </w:p>
    <w:p w14:paraId="3E6B2423">
      <w:pPr>
        <w:pStyle w:val="2"/>
        <w:rPr>
          <w:rFonts w:hint="eastAsia"/>
        </w:rPr>
      </w:pPr>
    </w:p>
    <w:tbl>
      <w:tblPr>
        <w:tblStyle w:val="13"/>
        <w:tblW w:w="86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1"/>
        <w:gridCol w:w="4448"/>
      </w:tblGrid>
      <w:tr w14:paraId="364F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4672333A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448" w:type="dxa"/>
            <w:noWrap w:val="0"/>
            <w:vAlign w:val="center"/>
          </w:tcPr>
          <w:p w14:paraId="475CBA20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乙  方</w:t>
            </w:r>
          </w:p>
        </w:tc>
      </w:tr>
      <w:tr w14:paraId="3A0E7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1522237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（盖章）</w:t>
            </w:r>
          </w:p>
        </w:tc>
        <w:tc>
          <w:tcPr>
            <w:tcW w:w="4448" w:type="dxa"/>
            <w:noWrap w:val="0"/>
            <w:vAlign w:val="center"/>
          </w:tcPr>
          <w:p w14:paraId="5AF3C2E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（盖章）</w:t>
            </w:r>
          </w:p>
        </w:tc>
      </w:tr>
      <w:tr w14:paraId="0D421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07C4F62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448" w:type="dxa"/>
            <w:noWrap w:val="0"/>
            <w:vAlign w:val="center"/>
          </w:tcPr>
          <w:p w14:paraId="0461210C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地址：</w:t>
            </w:r>
          </w:p>
        </w:tc>
      </w:tr>
      <w:tr w14:paraId="44F1E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047E4A2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448" w:type="dxa"/>
            <w:noWrap w:val="0"/>
            <w:vAlign w:val="center"/>
          </w:tcPr>
          <w:p w14:paraId="6FB4EC23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邮编：</w:t>
            </w:r>
          </w:p>
        </w:tc>
      </w:tr>
      <w:tr w14:paraId="4E219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13CF08A2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448" w:type="dxa"/>
            <w:noWrap w:val="0"/>
            <w:vAlign w:val="center"/>
          </w:tcPr>
          <w:p w14:paraId="6D38BCCF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法定代表人：</w:t>
            </w:r>
          </w:p>
        </w:tc>
      </w:tr>
      <w:tr w14:paraId="5B71F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6C4B3761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448" w:type="dxa"/>
            <w:noWrap w:val="0"/>
            <w:vAlign w:val="center"/>
          </w:tcPr>
          <w:p w14:paraId="3B5F547E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被授权代表：</w:t>
            </w:r>
          </w:p>
        </w:tc>
      </w:tr>
      <w:tr w14:paraId="0B371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37F2B3A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448" w:type="dxa"/>
            <w:noWrap w:val="0"/>
            <w:vAlign w:val="center"/>
          </w:tcPr>
          <w:p w14:paraId="6B495A11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电话：</w:t>
            </w:r>
          </w:p>
        </w:tc>
      </w:tr>
      <w:tr w14:paraId="57FD2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509A8D96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448" w:type="dxa"/>
            <w:noWrap w:val="0"/>
            <w:vAlign w:val="center"/>
          </w:tcPr>
          <w:p w14:paraId="23E8F310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传真：</w:t>
            </w:r>
          </w:p>
        </w:tc>
      </w:tr>
      <w:tr w14:paraId="52203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1BCE993C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448" w:type="dxa"/>
            <w:noWrap w:val="0"/>
            <w:vAlign w:val="center"/>
          </w:tcPr>
          <w:p w14:paraId="297B7396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开户银行：</w:t>
            </w:r>
          </w:p>
        </w:tc>
      </w:tr>
      <w:tr w14:paraId="77036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6BD2D6AB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开户银行账号：</w:t>
            </w:r>
          </w:p>
        </w:tc>
        <w:tc>
          <w:tcPr>
            <w:tcW w:w="4448" w:type="dxa"/>
            <w:noWrap w:val="0"/>
            <w:vAlign w:val="center"/>
          </w:tcPr>
          <w:p w14:paraId="0B675DB5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开户银行账号：</w:t>
            </w:r>
          </w:p>
        </w:tc>
      </w:tr>
      <w:tr w14:paraId="4BDFB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4251" w:type="dxa"/>
            <w:noWrap w:val="0"/>
            <w:vAlign w:val="center"/>
          </w:tcPr>
          <w:p w14:paraId="49A42B57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448" w:type="dxa"/>
            <w:noWrap w:val="0"/>
            <w:vAlign w:val="center"/>
          </w:tcPr>
          <w:p w14:paraId="1171FB61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日期：</w:t>
            </w:r>
          </w:p>
        </w:tc>
      </w:tr>
    </w:tbl>
    <w:p w14:paraId="605A72AF"/>
    <w:sectPr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AC686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1386"/>
    <w:rsid w:val="03F71AED"/>
    <w:rsid w:val="04F63055"/>
    <w:rsid w:val="064E4DC4"/>
    <w:rsid w:val="09AE3FC6"/>
    <w:rsid w:val="0B663A3D"/>
    <w:rsid w:val="0F4A4C1E"/>
    <w:rsid w:val="12444714"/>
    <w:rsid w:val="12800AA8"/>
    <w:rsid w:val="155618F4"/>
    <w:rsid w:val="1612155C"/>
    <w:rsid w:val="17BE4BAA"/>
    <w:rsid w:val="192D2EE4"/>
    <w:rsid w:val="1A816E43"/>
    <w:rsid w:val="1F8709FA"/>
    <w:rsid w:val="25493774"/>
    <w:rsid w:val="271D7FA2"/>
    <w:rsid w:val="2B6A3117"/>
    <w:rsid w:val="3345218A"/>
    <w:rsid w:val="39173F23"/>
    <w:rsid w:val="3A0564C1"/>
    <w:rsid w:val="3B7B608D"/>
    <w:rsid w:val="3FFA5878"/>
    <w:rsid w:val="41511340"/>
    <w:rsid w:val="41D41224"/>
    <w:rsid w:val="44C646ED"/>
    <w:rsid w:val="44C8323B"/>
    <w:rsid w:val="452617D1"/>
    <w:rsid w:val="47835CCA"/>
    <w:rsid w:val="47E91B10"/>
    <w:rsid w:val="491F6E4F"/>
    <w:rsid w:val="518931E5"/>
    <w:rsid w:val="526D607A"/>
    <w:rsid w:val="528865A1"/>
    <w:rsid w:val="54667951"/>
    <w:rsid w:val="547A557A"/>
    <w:rsid w:val="54BD185D"/>
    <w:rsid w:val="54F64E7F"/>
    <w:rsid w:val="565A678F"/>
    <w:rsid w:val="56C34F51"/>
    <w:rsid w:val="57184B2E"/>
    <w:rsid w:val="57681D54"/>
    <w:rsid w:val="5803156B"/>
    <w:rsid w:val="5E2F1773"/>
    <w:rsid w:val="6295498D"/>
    <w:rsid w:val="62B9496B"/>
    <w:rsid w:val="646A35E7"/>
    <w:rsid w:val="66337D8F"/>
    <w:rsid w:val="66A870A3"/>
    <w:rsid w:val="670005AB"/>
    <w:rsid w:val="68472F67"/>
    <w:rsid w:val="69C362DB"/>
    <w:rsid w:val="6B184D54"/>
    <w:rsid w:val="6C367F3C"/>
    <w:rsid w:val="6D5071B3"/>
    <w:rsid w:val="71A94AA3"/>
    <w:rsid w:val="74A653B4"/>
    <w:rsid w:val="75743A40"/>
    <w:rsid w:val="781A1E79"/>
    <w:rsid w:val="78965640"/>
    <w:rsid w:val="79EA1A55"/>
    <w:rsid w:val="7BE81A4F"/>
    <w:rsid w:val="7C3254B9"/>
    <w:rsid w:val="7DA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spacing w:line="360" w:lineRule="auto"/>
      <w:jc w:val="center"/>
      <w:outlineLvl w:val="0"/>
    </w:pPr>
    <w:rPr>
      <w:rFonts w:ascii="方正小标宋_GBK" w:hAnsi="方正小标宋_GBK" w:eastAsia="宋体"/>
      <w:b/>
      <w:sz w:val="32"/>
      <w:szCs w:val="44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snapToGrid w:val="0"/>
      <w:spacing w:line="360" w:lineRule="auto"/>
      <w:ind w:right="142"/>
      <w:jc w:val="center"/>
      <w:outlineLvl w:val="1"/>
    </w:pPr>
    <w:rPr>
      <w:rFonts w:ascii="黑体" w:hAnsi="黑体" w:eastAsia="宋体" w:cs="黑体"/>
      <w:b/>
      <w:bCs/>
      <w:sz w:val="28"/>
      <w:szCs w:val="32"/>
      <w:lang w:val="zh-CN" w:bidi="zh-CN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240" w:lineRule="auto"/>
      <w:outlineLvl w:val="2"/>
    </w:pPr>
    <w:rPr>
      <w:rFonts w:ascii="Calibri" w:hAnsi="Calibri" w:eastAsia="宋体" w:cs="Times New Roman"/>
      <w:b/>
      <w:bCs/>
      <w:kern w:val="2"/>
      <w:sz w:val="24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annotation text"/>
    <w:basedOn w:val="1"/>
    <w:qFormat/>
    <w:uiPriority w:val="0"/>
    <w:pPr>
      <w:jc w:val="left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 2"/>
    <w:basedOn w:val="9"/>
    <w:qFormat/>
    <w:uiPriority w:val="0"/>
    <w:pPr>
      <w:ind w:firstLine="420" w:firstLineChars="200"/>
    </w:pPr>
  </w:style>
  <w:style w:type="character" w:customStyle="1" w:styleId="15">
    <w:name w:val="标题 1 Char"/>
    <w:link w:val="4"/>
    <w:qFormat/>
    <w:uiPriority w:val="0"/>
    <w:rPr>
      <w:rFonts w:ascii="方正小标宋_GBK" w:hAnsi="方正小标宋_GBK" w:eastAsia="宋体"/>
      <w:b/>
      <w:kern w:val="2"/>
      <w:sz w:val="32"/>
    </w:rPr>
  </w:style>
  <w:style w:type="character" w:customStyle="1" w:styleId="16">
    <w:name w:val="标题 2 Char"/>
    <w:link w:val="5"/>
    <w:qFormat/>
    <w:uiPriority w:val="9"/>
    <w:rPr>
      <w:rFonts w:ascii="楷体" w:hAnsi="楷体" w:eastAsia="宋体" w:cs="Times New Roman"/>
      <w:b/>
      <w:bCs/>
      <w:kern w:val="2"/>
      <w:sz w:val="24"/>
      <w:szCs w:val="32"/>
      <w:lang w:val="zh-CN" w:eastAsia="zh-CN" w:bidi="zh-CN"/>
    </w:rPr>
  </w:style>
  <w:style w:type="character" w:customStyle="1" w:styleId="17">
    <w:name w:val="标题 3 Char"/>
    <w:link w:val="6"/>
    <w:qFormat/>
    <w:uiPriority w:val="0"/>
    <w:rPr>
      <w:rFonts w:ascii="Calibri" w:hAnsi="Calibri" w:eastAsia="宋体" w:cs="Times New Roman"/>
      <w:b/>
      <w:bCs/>
      <w:color w:val="000000"/>
      <w:kern w:val="2"/>
      <w:sz w:val="28"/>
      <w:szCs w:val="24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1821</Words>
  <Characters>1848</Characters>
  <Lines>0</Lines>
  <Paragraphs>0</Paragraphs>
  <TotalTime>2</TotalTime>
  <ScaleCrop>false</ScaleCrop>
  <LinksUpToDate>false</LinksUpToDate>
  <CharactersWithSpaces>1962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2022-05-20T01:08:00Z</dcterms:created>
  <dc:creator>Administrator</dc:creator>
  <cp:lastModifiedBy>Administrator</cp:lastModifiedBy>
  <dcterms:modified xsi:type="dcterms:W3CDTF">2025-05-07T08:00:21Z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05FF57A5B0464BA78FE5D3860B3010EA_13</vt:lpwstr>
  </property>
  <property fmtid="{D5CDD505-2E9C-101B-9397-08002B2CF9AE}" pid="4" name="KSOTemplateDocerSaveRecord">
    <vt:lpwstr>eyJoZGlkIjoiOTk4OTJjYmZlOGVmMmFjODZjMGM2MzYyNWM0YmVmOTUifQ==</vt:lpwstr>
  </property>
</Properties>
</file>