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版本号：ZJXG202505320250522001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2025年度机关食堂食材采购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ZJXG2025053</w:t>
      </w:r>
      <w:r>
        <w:br/>
      </w:r>
      <w:r>
        <w:br/>
      </w:r>
      <w:r>
        <w:br/>
      </w:r>
    </w:p>
    <w:p>
      <w:pPr>
        <w:pStyle w:val="null3"/>
        <w:jc w:val="center"/>
        <w:outlineLvl w:val="2"/>
      </w:pPr>
      <w:r>
        <w:rPr>
          <w:rFonts w:ascii="仿宋_GB2312" w:hAnsi="仿宋_GB2312" w:cs="仿宋_GB2312" w:eastAsia="仿宋_GB2312"/>
          <w:sz w:val="28"/>
          <w:b/>
        </w:rPr>
        <w:t>西安市未央区张家堡街道办事处</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西安市未央区张家堡街道办事处</w:t>
      </w:r>
      <w:r>
        <w:rPr>
          <w:rFonts w:ascii="仿宋_GB2312" w:hAnsi="仿宋_GB2312" w:cs="仿宋_GB2312" w:eastAsia="仿宋_GB2312"/>
        </w:rPr>
        <w:t>委托，拟对</w:t>
      </w:r>
      <w:r>
        <w:rPr>
          <w:rFonts w:ascii="仿宋_GB2312" w:hAnsi="仿宋_GB2312" w:cs="仿宋_GB2312" w:eastAsia="仿宋_GB2312"/>
        </w:rPr>
        <w:t>2025年度机关食堂食材采购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ZJXG2025053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2025年度机关食堂食材采购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2025年度机关食堂食材采购，具体内容详见竞争性磋商文件。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采购包1（2025年度机关食堂食材采购）：属于专门面向中小企业采购。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2023年度或2024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税收缴纳证明：提供2024年至今已缴纳的1个月的纳税证明或完税证明，依法免税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2024年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参加磋商的，须提供法定代表人身份证；法定代表人授权本单位他人参加磋商的，须提供法定代表人授权委托书及被授权代表开标截止前三个月内任意一个月在本单位的社会保险缴纳证明。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9、企业资质：供应商须提供所投肉类产品生产企业的《动物防疫条件合格证》；供应商是生产厂家的须提供有效的食品生产许可证及食品经营许可证，供应商为经销商的须提供有效的食品经营许可证。供应商需在项目电子化交易系统中按要求上传相应证明文件并进行电子签章。</w:t>
      </w:r>
    </w:p>
    <w:p>
      <w:pPr>
        <w:pStyle w:val="null3"/>
      </w:pPr>
      <w:r>
        <w:rPr>
          <w:rFonts w:ascii="仿宋_GB2312" w:hAnsi="仿宋_GB2312" w:cs="仿宋_GB2312" w:eastAsia="仿宋_GB2312"/>
        </w:rPr>
        <w:t>10、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11、是否接受联合体投标：本合同包不接受联合体投标，提供非联合体投标声明。供应商需在项目电子化交易系统中按要求上传相应证明文件并进行电子签章。</w:t>
      </w:r>
    </w:p>
    <w:p>
      <w:pPr>
        <w:pStyle w:val="null3"/>
      </w:pPr>
      <w:r>
        <w:rPr>
          <w:rFonts w:ascii="仿宋_GB2312" w:hAnsi="仿宋_GB2312" w:cs="仿宋_GB2312" w:eastAsia="仿宋_GB2312"/>
        </w:rPr>
        <w:t>12、中小企业：本合同包为专门面向中小企业采购（提供中小企业声明函或监狱企业的证明文件或残疾人福利性单位声明函）。供应商需在项目电子化交易系统中按要求上传相应证明文件并进行电子签章。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西安市未央区张家堡街道办事处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凤城四路3号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西安市未央区张家堡街道办事处经办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029-86526798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029-81618494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中服务类收费标准收取。 成交单位服务费交纳信息 银行户名：陕西中鉴项目管理有限公司 开户行：招商银行股份有限公司西安分行营业部 账号：129911072510777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西安市未央区张家堡街道办事处</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西安市未央区张家堡街道办事处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西安市未央区张家堡街道办事处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联系人：王哲</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2025年度机关食堂食材采购,具体内容详见竞争性磋商文件。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615,000.00</w:t>
      </w:r>
    </w:p>
    <w:p>
      <w:pPr>
        <w:pStyle w:val="null3"/>
      </w:pPr>
      <w:r>
        <w:rPr>
          <w:rFonts w:ascii="仿宋_GB2312" w:hAnsi="仿宋_GB2312" w:cs="仿宋_GB2312" w:eastAsia="仿宋_GB2312"/>
        </w:rPr>
        <w:t>采购包最高限价（元）: 615,000.00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2025年度机关食堂食材采购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615,000.00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标的名称：2025年度机关食堂食材采购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tbl>
            <w:tblPr>
              <w:tblBorders>
                <w:top w:val="none" w:color="000000" w:sz="4"/>
                <w:left w:val="none" w:color="000000" w:sz="4"/>
                <w:bottom w:val="none" w:color="000000" w:sz="4"/>
                <w:right w:val="none" w:color="000000" w:sz="4"/>
                <w:insideH w:val="none"/>
                <w:insideV w:val="none"/>
              </w:tblBorders>
            </w:tblPr>
            <w:tblGrid>
              <w:gridCol w:w="1666"/>
              <w:gridCol w:w="813"/>
            </w:tblGrid>
            <w:tr>
              <w:tc>
                <w:tcPr>
                  <w:tcW w:type="dxa" w:w="1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采购内容</w:t>
                  </w:r>
                </w:p>
              </w:tc>
              <w:tc>
                <w:tcPr>
                  <w:tcW w:type="dxa" w:w="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采购金额</w:t>
                  </w:r>
                  <w:r>
                    <w:rPr>
                      <w:rFonts w:ascii="仿宋_GB2312" w:hAnsi="仿宋_GB2312" w:cs="仿宋_GB2312" w:eastAsia="仿宋_GB2312"/>
                      <w:sz w:val="24"/>
                      <w:b/>
                    </w:rPr>
                    <w:t>(元）</w:t>
                  </w:r>
                </w:p>
              </w:tc>
            </w:tr>
            <w:tr>
              <w:tc>
                <w:tcPr>
                  <w:tcW w:type="dxa" w:w="1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2025年度机关食堂食材采购</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615000.00</w:t>
                  </w:r>
                </w:p>
              </w:tc>
            </w:tr>
          </w:tbl>
          <w:p>
            <w:pPr>
              <w:pStyle w:val="null3"/>
              <w:jc w:val="both"/>
            </w:pPr>
            <w:r>
              <w:rPr>
                <w:rFonts w:ascii="仿宋_GB2312" w:hAnsi="仿宋_GB2312" w:cs="仿宋_GB2312" w:eastAsia="仿宋_GB2312"/>
                <w:sz w:val="24"/>
                <w:b/>
              </w:rPr>
              <w:t>二、商务要求</w:t>
            </w:r>
          </w:p>
          <w:p>
            <w:pPr>
              <w:pStyle w:val="null3"/>
              <w:ind w:firstLine="482"/>
              <w:jc w:val="both"/>
            </w:pPr>
            <w:r>
              <w:rPr>
                <w:rFonts w:ascii="仿宋_GB2312" w:hAnsi="仿宋_GB2312" w:cs="仿宋_GB2312" w:eastAsia="仿宋_GB2312"/>
                <w:sz w:val="24"/>
                <w:b/>
              </w:rPr>
              <w:t>1、服务</w:t>
            </w:r>
            <w:r>
              <w:rPr>
                <w:rFonts w:ascii="仿宋_GB2312" w:hAnsi="仿宋_GB2312" w:cs="仿宋_GB2312" w:eastAsia="仿宋_GB2312"/>
                <w:sz w:val="24"/>
                <w:b/>
              </w:rPr>
              <w:t>范围</w:t>
            </w:r>
            <w:r>
              <w:rPr>
                <w:rFonts w:ascii="仿宋_GB2312" w:hAnsi="仿宋_GB2312" w:cs="仿宋_GB2312" w:eastAsia="仿宋_GB2312"/>
                <w:sz w:val="24"/>
                <w:b/>
              </w:rPr>
              <w:t>：</w:t>
            </w:r>
            <w:r>
              <w:rPr>
                <w:rFonts w:ascii="仿宋_GB2312" w:hAnsi="仿宋_GB2312" w:cs="仿宋_GB2312" w:eastAsia="仿宋_GB2312"/>
                <w:sz w:val="24"/>
              </w:rPr>
              <w:t>本项目涉及的所有食材及调味品采购及配送服务。</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服务期</w:t>
            </w:r>
            <w:r>
              <w:rPr>
                <w:rFonts w:ascii="仿宋_GB2312" w:hAnsi="仿宋_GB2312" w:cs="仿宋_GB2312" w:eastAsia="仿宋_GB2312"/>
                <w:sz w:val="24"/>
                <w:b/>
              </w:rPr>
              <w:t>限</w:t>
            </w:r>
            <w:r>
              <w:rPr>
                <w:rFonts w:ascii="仿宋_GB2312" w:hAnsi="仿宋_GB2312" w:cs="仿宋_GB2312" w:eastAsia="仿宋_GB2312"/>
                <w:sz w:val="24"/>
                <w:b/>
              </w:rPr>
              <w:t>：</w:t>
            </w:r>
            <w:r>
              <w:rPr>
                <w:rFonts w:ascii="仿宋_GB2312" w:hAnsi="仿宋_GB2312" w:cs="仿宋_GB2312" w:eastAsia="仿宋_GB2312"/>
                <w:sz w:val="24"/>
              </w:rPr>
              <w:t>自合同签订之日起</w:t>
            </w:r>
            <w:r>
              <w:rPr>
                <w:rFonts w:ascii="仿宋_GB2312" w:hAnsi="仿宋_GB2312" w:cs="仿宋_GB2312" w:eastAsia="仿宋_GB2312"/>
                <w:sz w:val="24"/>
              </w:rPr>
              <w:t>1</w:t>
            </w:r>
            <w:r>
              <w:rPr>
                <w:rFonts w:ascii="仿宋_GB2312" w:hAnsi="仿宋_GB2312" w:cs="仿宋_GB2312" w:eastAsia="仿宋_GB2312"/>
                <w:sz w:val="24"/>
              </w:rPr>
              <w:t>年</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服务地点：</w:t>
            </w:r>
            <w:r>
              <w:rPr>
                <w:rFonts w:ascii="仿宋_GB2312" w:hAnsi="仿宋_GB2312" w:cs="仿宋_GB2312" w:eastAsia="仿宋_GB2312"/>
                <w:sz w:val="24"/>
              </w:rPr>
              <w:t>采购人</w:t>
            </w:r>
            <w:r>
              <w:rPr>
                <w:rFonts w:ascii="仿宋_GB2312" w:hAnsi="仿宋_GB2312" w:cs="仿宋_GB2312" w:eastAsia="仿宋_GB2312"/>
                <w:sz w:val="24"/>
              </w:rPr>
              <w:t>指定地点。</w:t>
            </w:r>
          </w:p>
          <w:p>
            <w:pPr>
              <w:pStyle w:val="null3"/>
              <w:ind w:firstLine="420"/>
              <w:jc w:val="both"/>
            </w:pPr>
            <w:r>
              <w:rPr>
                <w:rFonts w:ascii="仿宋_GB2312" w:hAnsi="仿宋_GB2312" w:cs="仿宋_GB2312" w:eastAsia="仿宋_GB2312"/>
                <w:sz w:val="24"/>
                <w:b/>
              </w:rPr>
              <w:t>4、付款方</w:t>
            </w:r>
            <w:r>
              <w:rPr>
                <w:rFonts w:ascii="仿宋_GB2312" w:hAnsi="仿宋_GB2312" w:cs="仿宋_GB2312" w:eastAsia="仿宋_GB2312"/>
                <w:sz w:val="24"/>
                <w:b/>
              </w:rPr>
              <w:t>式：</w:t>
            </w:r>
          </w:p>
          <w:p>
            <w:pPr>
              <w:pStyle w:val="null3"/>
              <w:ind w:firstLine="420"/>
              <w:jc w:val="both"/>
            </w:pPr>
            <w:r>
              <w:rPr>
                <w:rFonts w:ascii="仿宋_GB2312" w:hAnsi="仿宋_GB2312" w:cs="仿宋_GB2312" w:eastAsia="仿宋_GB2312"/>
                <w:sz w:val="24"/>
              </w:rPr>
              <w:t>按月据实结算，每月</w:t>
            </w:r>
            <w:r>
              <w:rPr>
                <w:rFonts w:ascii="仿宋_GB2312" w:hAnsi="仿宋_GB2312" w:cs="仿宋_GB2312" w:eastAsia="仿宋_GB2312"/>
                <w:sz w:val="24"/>
              </w:rPr>
              <w:t>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p>
          <w:p>
            <w:pPr>
              <w:pStyle w:val="null3"/>
              <w:ind w:firstLine="482"/>
              <w:jc w:val="both"/>
            </w:pPr>
            <w:r>
              <w:rPr>
                <w:rFonts w:ascii="仿宋_GB2312" w:hAnsi="仿宋_GB2312" w:cs="仿宋_GB2312" w:eastAsia="仿宋_GB2312"/>
                <w:sz w:val="24"/>
                <w:b/>
              </w:rPr>
              <w:t>5、服务要求：</w:t>
            </w:r>
            <w:r>
              <w:rPr>
                <w:rFonts w:ascii="仿宋_GB2312" w:hAnsi="仿宋_GB2312" w:cs="仿宋_GB2312" w:eastAsia="仿宋_GB2312"/>
                <w:sz w:val="24"/>
              </w:rPr>
              <w:t>供应商应按照食堂要求的配送清单按照规定时间将所需产品送至采购人指定地点，如采购人遇到紧急情况需要加班的，供应商应保证加班期间食材的供应。</w:t>
            </w:r>
          </w:p>
          <w:p>
            <w:pPr>
              <w:pStyle w:val="null3"/>
              <w:ind w:firstLine="482"/>
              <w:jc w:val="both"/>
            </w:pPr>
            <w:r>
              <w:rPr>
                <w:rFonts w:ascii="仿宋_GB2312" w:hAnsi="仿宋_GB2312" w:cs="仿宋_GB2312" w:eastAsia="仿宋_GB2312"/>
                <w:sz w:val="24"/>
                <w:b/>
              </w:rPr>
              <w:t>6、其他要求：</w:t>
            </w:r>
            <w:r>
              <w:rPr>
                <w:rFonts w:ascii="仿宋_GB2312" w:hAnsi="仿宋_GB2312" w:cs="仿宋_GB2312" w:eastAsia="仿宋_GB2312"/>
                <w:sz w:val="24"/>
              </w:rPr>
              <w:t>配合甲方完成扶贫网采购任务。</w:t>
            </w:r>
          </w:p>
          <w:p>
            <w:pPr>
              <w:pStyle w:val="null3"/>
              <w:jc w:val="both"/>
            </w:pPr>
            <w:r>
              <w:rPr>
                <w:rFonts w:ascii="仿宋_GB2312" w:hAnsi="仿宋_GB2312" w:cs="仿宋_GB2312" w:eastAsia="仿宋_GB2312"/>
                <w:sz w:val="24"/>
                <w:b/>
              </w:rPr>
              <w:t>三、服务要求及内容</w:t>
            </w:r>
          </w:p>
          <w:tbl>
            <w:tblPr>
              <w:tblBorders>
                <w:top w:val="none" w:color="000000" w:sz="4"/>
                <w:left w:val="none" w:color="000000" w:sz="4"/>
                <w:bottom w:val="none" w:color="000000" w:sz="4"/>
                <w:right w:val="none" w:color="000000" w:sz="4"/>
                <w:insideH w:val="none"/>
                <w:insideV w:val="none"/>
              </w:tblBorders>
            </w:tblPr>
            <w:tblGrid>
              <w:gridCol w:w="176"/>
              <w:gridCol w:w="572"/>
              <w:gridCol w:w="1795"/>
            </w:tblGrid>
            <w:tr>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品名</w:t>
                  </w:r>
                </w:p>
              </w:tc>
              <w:tc>
                <w:tcPr>
                  <w:tcW w:type="dxa" w:w="1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食材要求</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大米</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必须符合</w:t>
                  </w:r>
                  <w:r>
                    <w:rPr>
                      <w:rFonts w:ascii="仿宋_GB2312" w:hAnsi="仿宋_GB2312" w:cs="仿宋_GB2312" w:eastAsia="仿宋_GB2312"/>
                      <w:sz w:val="21"/>
                    </w:rPr>
                    <w:t>GB1354标准，拥有“SC”食品生产许可证，水分含量在12°以下，无掺杂、无沙石，碎米少，无黄粒米</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食用油</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必须符合</w:t>
                  </w:r>
                  <w:r>
                    <w:rPr>
                      <w:rFonts w:ascii="仿宋_GB2312" w:hAnsi="仿宋_GB2312" w:cs="仿宋_GB2312" w:eastAsia="仿宋_GB2312"/>
                      <w:sz w:val="21"/>
                    </w:rPr>
                    <w:t>GB1536标准，拥有“SC”食品生产许可证，质量等级一级；有合格检疫报告，外观的色泽、透明度、气味滋味等无异常；定型包装</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面粉</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高筋面粉达</w:t>
                  </w:r>
                  <w:r>
                    <w:rPr>
                      <w:rFonts w:ascii="仿宋_GB2312" w:hAnsi="仿宋_GB2312" w:cs="仿宋_GB2312" w:eastAsia="仿宋_GB2312"/>
                      <w:sz w:val="21"/>
                    </w:rPr>
                    <w:t>GB8607国家标准，质量等级一级；低筋面粉达Q/JHMF01标准，质量等级一级；色泽正常，干爽无异味；包装袋上有注册商标及QS标注，有检验合格证、生产日期和保质期</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蔬菜</w:t>
                  </w:r>
                  <w:r>
                    <w:rPr>
                      <w:rFonts w:ascii="仿宋_GB2312" w:hAnsi="仿宋_GB2312" w:cs="仿宋_GB2312" w:eastAsia="仿宋_GB2312"/>
                      <w:sz w:val="21"/>
                    </w:rPr>
                    <w:t>类</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必须符合</w:t>
                  </w:r>
                  <w:r>
                    <w:rPr>
                      <w:rFonts w:ascii="仿宋_GB2312" w:hAnsi="仿宋_GB2312" w:cs="仿宋_GB2312" w:eastAsia="仿宋_GB2312"/>
                      <w:sz w:val="21"/>
                    </w:rPr>
                    <w:t>GB 2763食品中农药最大残留限量标准并具有农药残留检验记录，当季各类新鲜蔬菜以及大棚种植蔬菜，蔬菜类必须保证无黄叶、枯死叶、无虫、无杂质，须48小时内采摘供应，原菜须保证菜面干净、无明显泥土、码放整齐、无破损、大小基本统一、不得过熟或欠熟；净菜须保证菜面完全干净、无泥土、按统一标准加工、码放整齐、无须二次处理可以直接进行熟加工</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肉类、冷冻产品</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应具有相关动物检验检疫合格证明，供应商应设有固定的经营场所，并具有符合卫生防疫监督部门要求的肉类食材屠宰厂的经营授权书，含水（冰）率符合标准</w:t>
                  </w:r>
                  <w:r>
                    <w:rPr>
                      <w:rFonts w:ascii="仿宋_GB2312" w:hAnsi="仿宋_GB2312" w:cs="仿宋_GB2312" w:eastAsia="仿宋_GB2312"/>
                      <w:sz w:val="21"/>
                    </w:rPr>
                    <w:t>，肉品须表皮洁净、膘厚适中、色泽鲜亮、纹理清晰、肉质细腻、无异味、去骨、无毛、按压无水迹，冻品外包装需完整，无破损，无不封口现象，有生产日期。冻品在解冻后，发现质量问题需退货。符合国家绿色批发市场标准，应具备满足交易需要的冷冻贮藏设施</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蛋类</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鲜新、大小均匀、无破损、色泽光滑，须出具加盖地方政府监督所检疫章的动物检疫证明</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豆制品、乳制品及其他半成品</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豆制品须保证食材干净、不含非食品用化学物质、按统一标准加工、码放整齐、无须二次处理可以直接进行熟加工，送货当日时间不得超过保质期的</w:t>
                  </w:r>
                  <w:r>
                    <w:rPr>
                      <w:rFonts w:ascii="仿宋_GB2312" w:hAnsi="仿宋_GB2312" w:cs="仿宋_GB2312" w:eastAsia="仿宋_GB2312"/>
                      <w:sz w:val="21"/>
                    </w:rPr>
                    <w:t>1/3时长</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水产品</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鱼类要求体表光滑无病灶，有鲜鱼鳞片完整，无鳞鱼无浑浊粘液，肉质干燥，紧密，呈白色或淡黄色眼球外突饱满透明，鳃丝清晰鲜红或暗红，保持活体状态固有本色，无异味，鱼类肌肉紧密有弹性，内脏清晰可辨无腐烂</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水果</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时令各类水果，无虫、无杂质，须</w:t>
                  </w:r>
                  <w:r>
                    <w:rPr>
                      <w:rFonts w:ascii="仿宋_GB2312" w:hAnsi="仿宋_GB2312" w:cs="仿宋_GB2312" w:eastAsia="仿宋_GB2312"/>
                      <w:sz w:val="21"/>
                    </w:rPr>
                    <w:t>48小时内采摘供应，原水果须保证果面干净、无明显泥土、码放整齐、无破损、大小基本统一、不得过熟或欠熟</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杂粮及调味品</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品质好，无霉变、无杂质</w:t>
                  </w:r>
                  <w:r>
                    <w:rPr>
                      <w:rFonts w:ascii="仿宋_GB2312" w:hAnsi="仿宋_GB2312" w:cs="仿宋_GB2312" w:eastAsia="仿宋_GB2312"/>
                      <w:sz w:val="21"/>
                    </w:rPr>
                    <w:t>，</w:t>
                  </w:r>
                  <w:r>
                    <w:rPr>
                      <w:rFonts w:ascii="仿宋_GB2312" w:hAnsi="仿宋_GB2312" w:cs="仿宋_GB2312" w:eastAsia="仿宋_GB2312"/>
                      <w:sz w:val="21"/>
                    </w:rPr>
                    <w:t>定型包装调味品必须具有</w:t>
                  </w:r>
                  <w:r>
                    <w:rPr>
                      <w:rFonts w:ascii="仿宋_GB2312" w:hAnsi="仿宋_GB2312" w:cs="仿宋_GB2312" w:eastAsia="仿宋_GB2312"/>
                      <w:sz w:val="21"/>
                    </w:rPr>
                    <w:t>“SC”食品生产许可证</w:t>
                  </w:r>
                  <w:r>
                    <w:rPr>
                      <w:rFonts w:ascii="仿宋_GB2312" w:hAnsi="仿宋_GB2312" w:cs="仿宋_GB2312" w:eastAsia="仿宋_GB2312"/>
                      <w:sz w:val="21"/>
                    </w:rPr>
                    <w:t>，色泽正常，具有该品种固有的香味，滋味无异味，油酱均匀的酱体或无结块的粉状固体，封口平整，外包装无污物、无泄漏，无胀袋或胖听或鼓盖现象，无变质发霉现象。</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清洁用品</w:t>
                  </w:r>
                </w:p>
              </w:tc>
              <w:tc>
                <w:tcPr>
                  <w:tcW w:type="dxa" w:w="1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餐纸、洗洁精等达到使用规范</w:t>
                  </w:r>
                </w:p>
              </w:tc>
            </w:tr>
          </w:tbl>
          <w:p>
            <w:pPr>
              <w:pStyle w:val="null3"/>
              <w:ind w:firstLine="482"/>
            </w:pPr>
            <w:r>
              <w:rPr>
                <w:rFonts w:ascii="仿宋_GB2312" w:hAnsi="仿宋_GB2312" w:cs="仿宋_GB2312" w:eastAsia="仿宋_GB2312"/>
                <w:sz w:val="24"/>
                <w:b/>
              </w:rPr>
              <w:t>注：供应商应按照满足人体均衡营养摄入的食材配送标准来制定详细、具体、合理的食材配送计划。</w:t>
            </w:r>
          </w:p>
          <w:p>
            <w:pPr>
              <w:pStyle w:val="null3"/>
              <w:ind w:firstLine="482"/>
              <w:jc w:val="both"/>
            </w:pPr>
            <w:r>
              <w:rPr>
                <w:rFonts w:ascii="仿宋_GB2312" w:hAnsi="仿宋_GB2312" w:cs="仿宋_GB2312" w:eastAsia="仿宋_GB2312"/>
                <w:sz w:val="24"/>
                <w:b/>
              </w:rPr>
              <w:t>（一）配送要求：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1）供应商须根据食堂要求提供的所有食材的具体品类、规格来供应产品，保质保量，准时准点满足食堂需求；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2）供应商自备送货车（冷藏或恒温），安排专人及时供货，装卸费、送货费用及运输安全由供应商承担；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3）米、面、油主食类、调味品、杂粮等食材根据食堂需求用量及库存条件，原则上每周送货1次或2次；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4）特殊情况下，食堂需要的小批量的急用物资，供应商应予以满足解决；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5）所有食材供应商必须按照采购人要求的种类、规格进行供货，满足采购人使用需求。所有食材配送服务均以采购人通知为准，采购人有权根据实际需求量随时调整采购计划及供货时间段。</w:t>
            </w:r>
          </w:p>
          <w:p>
            <w:pPr>
              <w:pStyle w:val="null3"/>
              <w:ind w:firstLine="482"/>
              <w:jc w:val="both"/>
            </w:pPr>
            <w:r>
              <w:rPr>
                <w:rFonts w:ascii="仿宋_GB2312" w:hAnsi="仿宋_GB2312" w:cs="仿宋_GB2312" w:eastAsia="仿宋_GB2312"/>
                <w:sz w:val="24"/>
                <w:b/>
              </w:rPr>
              <w:t>（二）验收标准：</w:t>
            </w:r>
          </w:p>
          <w:p>
            <w:pPr>
              <w:pStyle w:val="null3"/>
              <w:ind w:firstLine="480"/>
              <w:jc w:val="both"/>
            </w:pPr>
            <w:r>
              <w:rPr>
                <w:rFonts w:ascii="仿宋_GB2312" w:hAnsi="仿宋_GB2312" w:cs="仿宋_GB2312" w:eastAsia="仿宋_GB2312"/>
                <w:sz w:val="24"/>
              </w:rPr>
              <w:t>保管员、采购员负责入库食品检验，当班厨师长配合质量验收，验收标准如下：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定型包装食品，应检验包装标识或者产品说明书是否标出品名、产地、厂名、生产日期、批号或者代号、规格、配方或者主要成份、保质期限、食用或者使用方法等，防止购进假冒伪劣产品，禁止“三无”产品进入食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2）主要食材中的定型包装食品，如米面油类应提供批次产品卫生主管部门的检验报告；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3）包装污秽不洁、严重破损、运输工具不洁等造成污染的产品不得验收入库；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5）食堂采购员、库管员和当班厨师共同对所购食品原辅料的质量、数量进行核对验收，验收合格的及时入库，不合格产品应及时退回供应商，同时做好验收记录。食堂管理员不定时抽查；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6）食材购回后，保管员和厨师共同验收，并在《原料购进验收单》上签字确认；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7）入库时，保管员要清点入库物品的数量、规格，做到数量、规格、品种准确无误，入库时按不同的材质、规格、功能和要求，分类、分别储存，做到账物相符。</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服务标准：</w:t>
            </w:r>
          </w:p>
          <w:p>
            <w:pPr>
              <w:pStyle w:val="null3"/>
              <w:ind w:firstLine="480"/>
              <w:jc w:val="both"/>
            </w:pPr>
            <w:r>
              <w:rPr>
                <w:rFonts w:ascii="仿宋_GB2312" w:hAnsi="仿宋_GB2312" w:cs="仿宋_GB2312" w:eastAsia="仿宋_GB2312"/>
                <w:sz w:val="24"/>
              </w:rPr>
              <w:t>经甲方验收合格，满足采购人实际需求。</w:t>
            </w:r>
          </w:p>
          <w:p>
            <w:pPr>
              <w:pStyle w:val="null3"/>
              <w:ind w:firstLine="48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拟投入人员须满足完成采购内容要求的所有事项。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拟投入设备须满足完成采购内容要求的所有事项。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据实结算，每月1日至5日递交上月结算数据，结算价格以“西安市农业农村局官网公布的欣桥批发市场价格行情”公布价格*供货数量*投标人食材折扣率。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合同一经签订，不得随意变更、中止或终止。对确需变更、调整或者中止、终止合同的，应按规定履行相应的手续。 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提供2024年至今已缴纳的1个月的纳税证明或完税证明，依法免税的单位应提供相关证明材料。此项可提供基本资格条件承诺函。供应商需在项目电子化交易系统中按要求上传相应证明文件并进行电子签章。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及被授权代表开标截止前三个月内任意一个月在本单位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提供所投肉类产品生产企业的《动物防疫条件合格证》；供应商是生产厂家的须提供有效的食品生产许可证及食品经营许可证，供应商为经销商的须提供有效的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本合同包不接受联合体投标，提供非联合体投标声明。供应商需在项目电子化交易系统中按要求上传相应证明文件并进行电子签章。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残疾人福利性单位声明函 中小企业声明函 供应商应提交的相关资格证明材料 供应商资格证明文件.docx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供应商认为有必要补充说明的事项.docx 中小企业声明函 残疾人福利性单位声明函 商务应答表 服务方案 供应商应提交的相关资格证明材料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食材配送方案</w:t>
            </w:r>
          </w:p>
        </w:tc>
        <w:tc>
          <w:tcPr>
            <w:tcW w:type="dxa" w:w="2492"/>
          </w:tcPr>
          <w:p>
            <w:pPr>
              <w:pStyle w:val="null3"/>
            </w:pPr>
            <w:r>
              <w:rPr>
                <w:rFonts w:ascii="仿宋_GB2312" w:hAnsi="仿宋_GB2312" w:cs="仿宋_GB2312" w:eastAsia="仿宋_GB2312"/>
              </w:rPr>
              <w:t>评审内容：①整体服务方案；②整体服务流程；③食品配送方案。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食材安全管理方案</w:t>
            </w:r>
          </w:p>
        </w:tc>
        <w:tc>
          <w:tcPr>
            <w:tcW w:type="dxa" w:w="2492"/>
          </w:tcPr>
          <w:p>
            <w:pPr>
              <w:pStyle w:val="null3"/>
            </w:pPr>
            <w:r>
              <w:rPr>
                <w:rFonts w:ascii="仿宋_GB2312" w:hAnsi="仿宋_GB2312" w:cs="仿宋_GB2312" w:eastAsia="仿宋_GB2312"/>
              </w:rPr>
              <w:t>评审内容：①安全责任划分标准；②安全事故的应对措施；③食材安全预防措施。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岗位及人员配置</w:t>
            </w:r>
          </w:p>
        </w:tc>
        <w:tc>
          <w:tcPr>
            <w:tcW w:type="dxa" w:w="2492"/>
          </w:tcPr>
          <w:p>
            <w:pPr>
              <w:pStyle w:val="null3"/>
            </w:pPr>
            <w:r>
              <w:rPr>
                <w:rFonts w:ascii="仿宋_GB2312" w:hAnsi="仿宋_GB2312" w:cs="仿宋_GB2312" w:eastAsia="仿宋_GB2312"/>
              </w:rPr>
              <w:t>评审内容：①项目组成人员；②项目组织计划；③项目岗位职责。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供应商质量保证方案</w:t>
            </w:r>
          </w:p>
        </w:tc>
        <w:tc>
          <w:tcPr>
            <w:tcW w:type="dxa" w:w="2492"/>
          </w:tcPr>
          <w:p>
            <w:pPr>
              <w:pStyle w:val="null3"/>
            </w:pPr>
            <w:r>
              <w:rPr>
                <w:rFonts w:ascii="仿宋_GB2312" w:hAnsi="仿宋_GB2312" w:cs="仿宋_GB2312" w:eastAsia="仿宋_GB2312"/>
              </w:rPr>
              <w:t>评审内容：①食品质量；②食品卫生；③安全执行标准；④抽样检验检查；⑤日常检查。 评审依据：每一项内容描述详细，切实可行符合项目实际内容得3分，①～⑤项合计得15分。内容①～⑤项任意一项缺项扣3分；内容①～⑤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评审内容：①市场供求变化；②恶劣天气；③车辆故障等突发事件；④配送或使用过程出现问题。 评审依据：每一项内容描述详细，切实可行符合项目实际内容得3分，①～④项合计得12分。内容①～④项任意一项缺项扣3分；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评审内容：①采买时间计划；②运输路线规划。评审依据：每一项内容描述详细，切实可行符合项目实际内容得4分，①～②项合计得8分。内容①～②项任意一项缺项扣4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产品食品安全售后服务保障措施；②产品食品质量售后服务保障措施。评审依据：每一项内容描述详细，切实可行符合项目实际内容得4分，①～②项合计得8分。内容①～②项任意一项缺项扣4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30%*100 注：供应商根据自身情况，报出食材折扣率，折扣率以百分比形式报价，最终结算以“西安市农业农村局官网公布的欣桥批发市场价格行情”公布价格*供货数量*投标人食材折扣率。折扣后的价格包含将采购人所需食材配送到指定地点的所有费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