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2C66D90">
      <w:pPr>
        <w:pStyle w:val="4"/>
        <w:spacing w:line="360" w:lineRule="auto"/>
        <w:rPr>
          <w:rFonts w:eastAsia="仿宋_GB2312"/>
          <w:sz w:val="24"/>
        </w:rPr>
      </w:pPr>
      <w:r>
        <w:rPr>
          <w:rStyle w:val="7"/>
          <w:rFonts w:ascii="Times New Roman" w:hAnsi="Times New Roman" w:eastAsia="宋体"/>
          <w:sz w:val="36"/>
          <w:szCs w:val="36"/>
        </w:rPr>
        <w:t>拟签订的合同文本</w:t>
      </w:r>
    </w:p>
    <w:p w14:paraId="41866AAD">
      <w:pPr>
        <w:tabs>
          <w:tab w:val="left" w:pos="735"/>
        </w:tabs>
        <w:autoSpaceDE w:val="0"/>
        <w:autoSpaceDN w:val="0"/>
        <w:adjustRightInd w:val="0"/>
        <w:snapToGrid w:val="0"/>
        <w:spacing w:beforeLines="100" w:line="360" w:lineRule="auto"/>
        <w:rPr>
          <w:rFonts w:eastAsia="仿宋_GB2312"/>
          <w:b/>
          <w:bCs/>
          <w:sz w:val="24"/>
          <w:lang w:val="zh-CN"/>
        </w:rPr>
      </w:pPr>
      <w:r>
        <w:rPr>
          <w:rFonts w:eastAsia="仿宋_GB2312"/>
          <w:b/>
          <w:bCs/>
          <w:sz w:val="24"/>
          <w:lang w:val="zh-CN"/>
        </w:rPr>
        <w:t>甲方：</w:t>
      </w:r>
      <w:r>
        <w:rPr>
          <w:rFonts w:eastAsia="仿宋_GB2312"/>
          <w:bCs/>
          <w:sz w:val="24"/>
          <w:lang w:val="zh-CN"/>
        </w:rPr>
        <w:t>（前款所称采购人）住所：</w:t>
      </w:r>
    </w:p>
    <w:p w14:paraId="7836F3E0">
      <w:pPr>
        <w:tabs>
          <w:tab w:val="left" w:pos="735"/>
        </w:tabs>
        <w:autoSpaceDE w:val="0"/>
        <w:autoSpaceDN w:val="0"/>
        <w:adjustRightInd w:val="0"/>
        <w:snapToGrid w:val="0"/>
        <w:spacing w:line="360" w:lineRule="auto"/>
        <w:rPr>
          <w:rFonts w:eastAsia="仿宋_GB2312"/>
          <w:bCs/>
          <w:sz w:val="24"/>
          <w:lang w:val="zh-CN"/>
        </w:rPr>
      </w:pPr>
      <w:r>
        <w:rPr>
          <w:rFonts w:eastAsia="仿宋_GB2312"/>
          <w:b/>
          <w:bCs/>
          <w:sz w:val="24"/>
          <w:lang w:val="zh-CN"/>
        </w:rPr>
        <w:t>乙方：</w:t>
      </w:r>
      <w:r>
        <w:rPr>
          <w:rFonts w:eastAsia="仿宋_GB2312"/>
          <w:bCs/>
          <w:sz w:val="24"/>
          <w:lang w:val="zh-CN"/>
        </w:rPr>
        <w:t>（前款所称</w:t>
      </w:r>
      <w:r>
        <w:rPr>
          <w:rFonts w:hint="eastAsia" w:eastAsia="仿宋_GB2312"/>
          <w:bCs/>
          <w:sz w:val="24"/>
        </w:rPr>
        <w:t>成交供应商</w:t>
      </w:r>
      <w:r>
        <w:rPr>
          <w:rFonts w:eastAsia="仿宋_GB2312"/>
          <w:bCs/>
          <w:sz w:val="24"/>
          <w:lang w:val="zh-CN"/>
        </w:rPr>
        <w:t>）住所：</w:t>
      </w:r>
    </w:p>
    <w:p w14:paraId="4F3F533B">
      <w:pPr>
        <w:adjustRightInd w:val="0"/>
        <w:snapToGrid w:val="0"/>
        <w:spacing w:line="360" w:lineRule="auto"/>
        <w:ind w:firstLine="480" w:firstLineChars="200"/>
        <w:rPr>
          <w:rFonts w:eastAsia="仿宋_GB2312"/>
          <w:sz w:val="24"/>
        </w:rPr>
      </w:pPr>
      <w:bookmarkStart w:id="0" w:name="_Toc19515384"/>
      <w:r>
        <w:rPr>
          <w:rFonts w:eastAsia="仿宋_GB2312"/>
          <w:sz w:val="24"/>
        </w:rPr>
        <w:t>一、合同内容（标的、数量、质量等）</w:t>
      </w:r>
      <w:bookmarkEnd w:id="0"/>
      <w:r>
        <w:rPr>
          <w:rFonts w:hint="eastAsia" w:eastAsia="仿宋_GB2312"/>
          <w:sz w:val="24"/>
        </w:rPr>
        <w:t>：</w:t>
      </w:r>
    </w:p>
    <w:p w14:paraId="52E1C887">
      <w:pPr>
        <w:adjustRightInd w:val="0"/>
        <w:snapToGrid w:val="0"/>
        <w:spacing w:line="360" w:lineRule="auto"/>
        <w:ind w:firstLine="480" w:firstLineChars="200"/>
        <w:rPr>
          <w:rFonts w:eastAsia="仿宋_GB2312"/>
          <w:sz w:val="24"/>
        </w:rPr>
      </w:pPr>
      <w:bookmarkStart w:id="1" w:name="_Toc19515385"/>
      <w:r>
        <w:rPr>
          <w:rFonts w:eastAsia="仿宋_GB2312"/>
          <w:sz w:val="24"/>
        </w:rPr>
        <w:t>二、合同价款</w:t>
      </w:r>
      <w:bookmarkEnd w:id="1"/>
    </w:p>
    <w:p w14:paraId="3C6161CB">
      <w:pPr>
        <w:adjustRightInd w:val="0"/>
        <w:snapToGrid w:val="0"/>
        <w:spacing w:line="360" w:lineRule="auto"/>
        <w:ind w:firstLine="480" w:firstLineChars="200"/>
        <w:rPr>
          <w:rFonts w:eastAsia="仿宋_GB2312"/>
          <w:sz w:val="24"/>
        </w:rPr>
      </w:pPr>
      <w:r>
        <w:rPr>
          <w:rFonts w:eastAsia="仿宋_GB2312"/>
          <w:sz w:val="24"/>
        </w:rPr>
        <w:t>1、合同总价：</w:t>
      </w:r>
    </w:p>
    <w:p w14:paraId="2E93A383">
      <w:pPr>
        <w:adjustRightInd w:val="0"/>
        <w:snapToGrid w:val="0"/>
        <w:spacing w:line="360" w:lineRule="auto"/>
        <w:ind w:firstLine="480" w:firstLineChars="200"/>
        <w:rPr>
          <w:rFonts w:eastAsia="仿宋_GB2312"/>
          <w:sz w:val="24"/>
        </w:rPr>
      </w:pPr>
      <w:r>
        <w:rPr>
          <w:rFonts w:eastAsia="仿宋_GB2312"/>
          <w:sz w:val="24"/>
        </w:rPr>
        <w:t>2、合同总价包括：</w:t>
      </w:r>
    </w:p>
    <w:p w14:paraId="3B2CD9E3">
      <w:pPr>
        <w:adjustRightInd w:val="0"/>
        <w:snapToGrid w:val="0"/>
        <w:spacing w:line="360" w:lineRule="auto"/>
        <w:ind w:firstLine="480" w:firstLineChars="200"/>
        <w:rPr>
          <w:rFonts w:eastAsia="仿宋_GB2312"/>
          <w:sz w:val="24"/>
        </w:rPr>
      </w:pPr>
      <w:r>
        <w:rPr>
          <w:rFonts w:eastAsia="仿宋_GB2312"/>
          <w:sz w:val="24"/>
        </w:rPr>
        <w:t>3、合同为固定总价合同，不受市场价变化的影响。</w:t>
      </w:r>
    </w:p>
    <w:p w14:paraId="32B98119">
      <w:pPr>
        <w:adjustRightInd w:val="0"/>
        <w:snapToGrid w:val="0"/>
        <w:spacing w:line="360" w:lineRule="auto"/>
        <w:ind w:firstLine="480" w:firstLineChars="200"/>
        <w:rPr>
          <w:rFonts w:eastAsia="仿宋_GB2312"/>
          <w:sz w:val="24"/>
        </w:rPr>
      </w:pPr>
      <w:bookmarkStart w:id="2" w:name="_Toc19515386"/>
      <w:r>
        <w:rPr>
          <w:rFonts w:eastAsia="仿宋_GB2312"/>
          <w:sz w:val="24"/>
        </w:rPr>
        <w:t>三、合同结算</w:t>
      </w:r>
      <w:bookmarkEnd w:id="2"/>
    </w:p>
    <w:p w14:paraId="69432C2E">
      <w:pPr>
        <w:adjustRightInd w:val="0"/>
        <w:snapToGrid w:val="0"/>
        <w:spacing w:line="360" w:lineRule="auto"/>
        <w:ind w:firstLine="480" w:firstLineChars="200"/>
        <w:rPr>
          <w:rFonts w:eastAsia="仿宋_GB2312"/>
          <w:sz w:val="24"/>
        </w:rPr>
      </w:pPr>
      <w:r>
        <w:rPr>
          <w:rFonts w:eastAsia="仿宋_GB2312"/>
          <w:sz w:val="24"/>
        </w:rPr>
        <w:t>1、付款比例：</w:t>
      </w:r>
    </w:p>
    <w:p w14:paraId="3CAF375A">
      <w:pPr>
        <w:adjustRightInd w:val="0"/>
        <w:snapToGrid w:val="0"/>
        <w:spacing w:line="360" w:lineRule="auto"/>
        <w:ind w:firstLine="480" w:firstLineChars="200"/>
        <w:rPr>
          <w:rFonts w:hint="eastAsia" w:eastAsia="仿宋_GB2312"/>
          <w:sz w:val="24"/>
          <w:lang w:val="en-US" w:eastAsia="zh-CN"/>
        </w:rPr>
      </w:pPr>
      <w:r>
        <w:rPr>
          <w:rFonts w:hint="eastAsia" w:eastAsia="仿宋_GB2312"/>
          <w:sz w:val="24"/>
          <w:lang w:val="en-US" w:eastAsia="zh-CN"/>
        </w:rPr>
        <w:t>/</w:t>
      </w:r>
    </w:p>
    <w:p w14:paraId="1F626E27">
      <w:pPr>
        <w:adjustRightInd w:val="0"/>
        <w:snapToGrid w:val="0"/>
        <w:spacing w:line="360" w:lineRule="auto"/>
        <w:ind w:firstLine="480" w:firstLineChars="200"/>
        <w:rPr>
          <w:rFonts w:eastAsia="仿宋_GB2312"/>
          <w:sz w:val="24"/>
        </w:rPr>
      </w:pPr>
      <w:r>
        <w:rPr>
          <w:rFonts w:eastAsia="仿宋_GB2312"/>
          <w:sz w:val="24"/>
        </w:rPr>
        <w:t>2、结算方式：银行转账。</w:t>
      </w:r>
    </w:p>
    <w:p w14:paraId="051B72D0">
      <w:pPr>
        <w:adjustRightInd w:val="0"/>
        <w:snapToGrid w:val="0"/>
        <w:spacing w:line="360" w:lineRule="auto"/>
        <w:ind w:firstLine="480" w:firstLineChars="200"/>
        <w:rPr>
          <w:rFonts w:hint="eastAsia" w:eastAsia="仿宋_GB2312"/>
          <w:sz w:val="24"/>
          <w:lang w:val="en-US" w:eastAsia="zh-CN"/>
        </w:rPr>
      </w:pPr>
      <w:bookmarkStart w:id="3" w:name="_Toc19515387"/>
      <w:r>
        <w:rPr>
          <w:rFonts w:eastAsia="仿宋_GB2312"/>
          <w:sz w:val="24"/>
        </w:rPr>
        <w:t>四、履行期限、地点及方式</w:t>
      </w:r>
      <w:bookmarkEnd w:id="3"/>
      <w:r>
        <w:rPr>
          <w:rFonts w:hint="eastAsia" w:eastAsia="仿宋_GB2312"/>
          <w:sz w:val="24"/>
        </w:rPr>
        <w:t>：</w:t>
      </w:r>
      <w:r>
        <w:rPr>
          <w:rFonts w:hint="eastAsia" w:eastAsia="仿宋_GB2312"/>
          <w:sz w:val="24"/>
          <w:lang w:val="en-US" w:eastAsia="zh-CN"/>
        </w:rPr>
        <w:t xml:space="preserve"> </w:t>
      </w:r>
    </w:p>
    <w:p w14:paraId="280CD0E2">
      <w:pPr>
        <w:adjustRightInd w:val="0"/>
        <w:snapToGrid w:val="0"/>
        <w:spacing w:line="360" w:lineRule="auto"/>
        <w:ind w:firstLine="480" w:firstLineChars="200"/>
        <w:rPr>
          <w:rFonts w:hint="default" w:eastAsia="仿宋_GB2312"/>
          <w:sz w:val="24"/>
          <w:lang w:val="en-US" w:eastAsia="zh-CN"/>
        </w:rPr>
      </w:pPr>
      <w:r>
        <w:rPr>
          <w:rFonts w:eastAsia="仿宋_GB2312"/>
          <w:sz w:val="24"/>
        </w:rPr>
        <w:t>1、履行期限：</w:t>
      </w:r>
      <w:r>
        <w:rPr>
          <w:rFonts w:hint="eastAsia" w:eastAsia="仿宋_GB2312"/>
          <w:sz w:val="24"/>
          <w:u w:val="single"/>
          <w:lang w:val="en-US" w:eastAsia="zh-CN"/>
        </w:rPr>
        <w:t xml:space="preserve">                </w:t>
      </w:r>
    </w:p>
    <w:p w14:paraId="313A0A78">
      <w:pPr>
        <w:adjustRightInd w:val="0"/>
        <w:snapToGrid w:val="0"/>
        <w:spacing w:line="360" w:lineRule="auto"/>
        <w:ind w:firstLine="480" w:firstLineChars="200"/>
        <w:rPr>
          <w:rFonts w:eastAsia="仿宋_GB2312"/>
          <w:sz w:val="24"/>
        </w:rPr>
      </w:pPr>
      <w:r>
        <w:rPr>
          <w:rFonts w:eastAsia="仿宋_GB2312"/>
          <w:sz w:val="24"/>
        </w:rPr>
        <w:t>2、地点：</w:t>
      </w:r>
      <w:r>
        <w:rPr>
          <w:rFonts w:hint="eastAsia" w:eastAsia="仿宋_GB2312"/>
          <w:sz w:val="24"/>
        </w:rPr>
        <w:t>采购人指定。</w:t>
      </w:r>
    </w:p>
    <w:p w14:paraId="552A9FB5">
      <w:pPr>
        <w:adjustRightInd w:val="0"/>
        <w:snapToGrid w:val="0"/>
        <w:spacing w:line="360" w:lineRule="auto"/>
        <w:ind w:firstLine="480" w:firstLineChars="200"/>
        <w:rPr>
          <w:rFonts w:eastAsia="仿宋_GB2312"/>
          <w:sz w:val="24"/>
        </w:rPr>
      </w:pPr>
      <w:r>
        <w:rPr>
          <w:rFonts w:eastAsia="仿宋_GB2312"/>
          <w:sz w:val="24"/>
        </w:rPr>
        <w:t>3、方式：</w:t>
      </w:r>
      <w:r>
        <w:rPr>
          <w:rFonts w:hint="eastAsia" w:eastAsia="仿宋_GB2312"/>
          <w:sz w:val="24"/>
        </w:rPr>
        <w:t>采购人指定。</w:t>
      </w:r>
    </w:p>
    <w:p w14:paraId="6457B557">
      <w:pPr>
        <w:adjustRightInd w:val="0"/>
        <w:snapToGrid w:val="0"/>
        <w:spacing w:line="360" w:lineRule="auto"/>
        <w:ind w:firstLine="480" w:firstLineChars="200"/>
        <w:rPr>
          <w:rFonts w:eastAsia="仿宋_GB2312"/>
          <w:sz w:val="24"/>
        </w:rPr>
      </w:pPr>
      <w:bookmarkStart w:id="4" w:name="_Toc19515390"/>
      <w:r>
        <w:rPr>
          <w:rFonts w:eastAsia="仿宋_GB2312"/>
          <w:sz w:val="24"/>
        </w:rPr>
        <w:t>五、技术服务</w:t>
      </w:r>
      <w:bookmarkEnd w:id="4"/>
      <w:bookmarkStart w:id="9" w:name="_GoBack"/>
      <w:bookmarkEnd w:id="9"/>
    </w:p>
    <w:p w14:paraId="64BEC5DB">
      <w:pPr>
        <w:adjustRightInd w:val="0"/>
        <w:snapToGrid w:val="0"/>
        <w:spacing w:line="360" w:lineRule="auto"/>
        <w:ind w:firstLine="480" w:firstLineChars="200"/>
        <w:rPr>
          <w:rFonts w:eastAsia="仿宋_GB2312"/>
          <w:sz w:val="24"/>
        </w:rPr>
      </w:pPr>
      <w:r>
        <w:rPr>
          <w:rFonts w:eastAsia="仿宋_GB2312"/>
          <w:sz w:val="24"/>
        </w:rPr>
        <w:t>1、对技术服务的要求：</w:t>
      </w:r>
    </w:p>
    <w:p w14:paraId="2FE4163D">
      <w:pPr>
        <w:adjustRightInd w:val="0"/>
        <w:snapToGrid w:val="0"/>
        <w:spacing w:line="360" w:lineRule="auto"/>
        <w:ind w:firstLine="480" w:firstLineChars="200"/>
        <w:rPr>
          <w:rFonts w:eastAsia="仿宋_GB2312"/>
          <w:sz w:val="24"/>
        </w:rPr>
      </w:pPr>
      <w:r>
        <w:rPr>
          <w:rFonts w:eastAsia="仿宋_GB2312"/>
          <w:sz w:val="24"/>
        </w:rPr>
        <w:t>2、技术资料：</w:t>
      </w:r>
    </w:p>
    <w:p w14:paraId="5FC309DA">
      <w:pPr>
        <w:adjustRightInd w:val="0"/>
        <w:snapToGrid w:val="0"/>
        <w:spacing w:line="360" w:lineRule="auto"/>
        <w:ind w:firstLine="480" w:firstLineChars="200"/>
        <w:rPr>
          <w:rFonts w:eastAsia="仿宋_GB2312"/>
          <w:sz w:val="24"/>
        </w:rPr>
      </w:pPr>
      <w:r>
        <w:rPr>
          <w:rFonts w:eastAsia="仿宋_GB2312"/>
          <w:sz w:val="24"/>
        </w:rPr>
        <w:t>3、售后服务</w:t>
      </w:r>
    </w:p>
    <w:p w14:paraId="04E7F268">
      <w:pPr>
        <w:adjustRightInd w:val="0"/>
        <w:snapToGrid w:val="0"/>
        <w:spacing w:line="360" w:lineRule="auto"/>
        <w:ind w:firstLine="480" w:firstLineChars="200"/>
        <w:rPr>
          <w:rFonts w:hint="eastAsia" w:ascii="仿宋" w:hAnsi="仿宋" w:eastAsia="仿宋" w:cs="仿宋"/>
          <w:color w:val="auto"/>
          <w:sz w:val="24"/>
        </w:rPr>
      </w:pPr>
      <w:r>
        <w:rPr>
          <w:rFonts w:hint="eastAsia" w:ascii="仿宋" w:hAnsi="仿宋" w:eastAsia="仿宋" w:cs="仿宋"/>
          <w:color w:val="auto"/>
          <w:sz w:val="24"/>
        </w:rPr>
        <w:t>3.1、乙方在接到甲方电话通知后在</w:t>
      </w:r>
      <w:r>
        <w:rPr>
          <w:rFonts w:hint="eastAsia" w:ascii="仿宋" w:hAnsi="仿宋" w:eastAsia="仿宋" w:cs="仿宋"/>
          <w:color w:val="auto"/>
          <w:sz w:val="24"/>
          <w:u w:val="single"/>
        </w:rPr>
        <w:t xml:space="preserve"> </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u w:val="single"/>
        </w:rPr>
        <w:t xml:space="preserve"> </w:t>
      </w:r>
      <w:r>
        <w:rPr>
          <w:rFonts w:hint="eastAsia" w:ascii="仿宋" w:hAnsi="仿宋" w:eastAsia="仿宋" w:cs="仿宋"/>
          <w:color w:val="auto"/>
          <w:sz w:val="24"/>
        </w:rPr>
        <w:t>小时内派出合格的服务人员到达现场进行服务，且由乙方承担相应费用。</w:t>
      </w:r>
    </w:p>
    <w:p w14:paraId="588996B3">
      <w:pPr>
        <w:adjustRightInd w:val="0"/>
        <w:snapToGrid w:val="0"/>
        <w:spacing w:line="360" w:lineRule="auto"/>
        <w:ind w:firstLine="480" w:firstLineChars="200"/>
      </w:pPr>
      <w:r>
        <w:rPr>
          <w:rFonts w:hint="eastAsia" w:ascii="仿宋" w:hAnsi="仿宋" w:eastAsia="仿宋" w:cs="仿宋"/>
          <w:color w:val="auto"/>
          <w:sz w:val="24"/>
        </w:rPr>
        <w:t>3.2、如果乙方在收到通知后两天内没有弥补缺陷，甲方可采取必要的补救措施，但其风险和费用将由乙方承担，甲方有权从未付款项中扣除，且甲方根据合同规定对乙方行使的其它权力不受影响。</w:t>
      </w:r>
    </w:p>
    <w:p w14:paraId="385CE018">
      <w:pPr>
        <w:adjustRightInd w:val="0"/>
        <w:snapToGrid w:val="0"/>
        <w:spacing w:line="360" w:lineRule="auto"/>
        <w:ind w:firstLine="480" w:firstLineChars="200"/>
        <w:rPr>
          <w:rFonts w:eastAsia="仿宋_GB2312"/>
          <w:sz w:val="24"/>
        </w:rPr>
      </w:pPr>
      <w:bookmarkStart w:id="5" w:name="_Toc19515391"/>
      <w:r>
        <w:rPr>
          <w:rFonts w:eastAsia="仿宋_GB2312"/>
          <w:sz w:val="24"/>
        </w:rPr>
        <w:t>六、</w:t>
      </w:r>
      <w:bookmarkEnd w:id="5"/>
      <w:r>
        <w:rPr>
          <w:rFonts w:hint="eastAsia" w:eastAsia="仿宋_GB2312"/>
          <w:sz w:val="24"/>
        </w:rPr>
        <w:t>考核</w:t>
      </w:r>
    </w:p>
    <w:p w14:paraId="12B5FCB9">
      <w:pPr>
        <w:adjustRightInd w:val="0"/>
        <w:snapToGrid w:val="0"/>
        <w:spacing w:line="360" w:lineRule="auto"/>
        <w:ind w:firstLine="720" w:firstLineChars="300"/>
        <w:rPr>
          <w:rFonts w:hint="eastAsia" w:ascii="仿宋_GB2312" w:hAnsi="仿宋" w:eastAsia="仿宋_GB2312"/>
          <w:sz w:val="24"/>
        </w:rPr>
      </w:pPr>
      <w:r>
        <w:rPr>
          <w:rFonts w:hint="eastAsia" w:eastAsia="仿宋_GB2312"/>
          <w:sz w:val="24"/>
        </w:rPr>
        <w:t>初次验收合格后，</w:t>
      </w:r>
      <w:r>
        <w:rPr>
          <w:rFonts w:hint="eastAsia" w:ascii="仿宋_GB2312" w:hAnsi="仿宋" w:eastAsia="仿宋_GB2312"/>
          <w:sz w:val="24"/>
        </w:rPr>
        <w:t>服务期内采购人不定期检查，服务期达到</w:t>
      </w:r>
      <w:r>
        <w:rPr>
          <w:rFonts w:hint="eastAsia" w:ascii="仿宋_GB2312" w:hAnsi="仿宋" w:eastAsia="仿宋_GB2312"/>
          <w:sz w:val="24"/>
          <w:u w:val="single"/>
          <w:lang w:val="en-US" w:eastAsia="zh-CN"/>
        </w:rPr>
        <w:t xml:space="preserve">      </w:t>
      </w:r>
      <w:r>
        <w:rPr>
          <w:rFonts w:hint="eastAsia" w:ascii="仿宋_GB2312" w:hAnsi="仿宋" w:eastAsia="仿宋_GB2312"/>
          <w:sz w:val="24"/>
        </w:rPr>
        <w:t>日，乙方向甲方提出申请，甲方接到乙方验收申请后组织考核（必要时可聘请相应专家或委托相应部门验收），考核合格后，出具考核合格证明，考核结果作为付款依据。</w:t>
      </w:r>
    </w:p>
    <w:p w14:paraId="28F01ACE">
      <w:pPr>
        <w:tabs>
          <w:tab w:val="left" w:pos="1083"/>
        </w:tabs>
        <w:overflowPunct w:val="0"/>
        <w:autoSpaceDE w:val="0"/>
        <w:autoSpaceDN w:val="0"/>
        <w:spacing w:line="336" w:lineRule="auto"/>
        <w:ind w:firstLine="480" w:firstLineChars="200"/>
        <w:rPr>
          <w:rFonts w:ascii="仿宋" w:hAnsi="仿宋" w:eastAsia="仿宋" w:cs="仿宋"/>
          <w:sz w:val="24"/>
        </w:rPr>
      </w:pPr>
      <w:r>
        <w:rPr>
          <w:rFonts w:hint="eastAsia" w:eastAsia="仿宋_GB2312"/>
          <w:sz w:val="24"/>
        </w:rPr>
        <w:t>七、</w:t>
      </w:r>
      <w:r>
        <w:rPr>
          <w:rFonts w:hint="eastAsia" w:ascii="仿宋" w:hAnsi="仿宋" w:eastAsia="仿宋" w:cs="仿宋"/>
          <w:sz w:val="24"/>
        </w:rPr>
        <w:t>违约责任</w:t>
      </w:r>
    </w:p>
    <w:p w14:paraId="29E1ACAE">
      <w:pPr>
        <w:tabs>
          <w:tab w:val="left" w:pos="1083"/>
        </w:tabs>
        <w:overflowPunct w:val="0"/>
        <w:autoSpaceDE w:val="0"/>
        <w:autoSpaceDN w:val="0"/>
        <w:spacing w:line="336" w:lineRule="auto"/>
        <w:ind w:firstLine="480" w:firstLineChars="200"/>
        <w:rPr>
          <w:rFonts w:hint="eastAsia" w:ascii="仿宋" w:hAnsi="仿宋" w:eastAsia="仿宋" w:cs="仿宋"/>
          <w:sz w:val="24"/>
        </w:rPr>
      </w:pPr>
      <w:r>
        <w:rPr>
          <w:rFonts w:hint="eastAsia" w:ascii="仿宋" w:hAnsi="仿宋" w:eastAsia="仿宋" w:cs="仿宋"/>
          <w:sz w:val="24"/>
        </w:rPr>
        <w:t>1.</w:t>
      </w:r>
      <w:r>
        <w:rPr>
          <w:rFonts w:ascii="仿宋" w:hAnsi="仿宋" w:eastAsia="仿宋" w:cs="仿宋"/>
          <w:sz w:val="24"/>
        </w:rPr>
        <w:t>乙方</w:t>
      </w:r>
      <w:r>
        <w:rPr>
          <w:rFonts w:hint="eastAsia" w:ascii="仿宋" w:hAnsi="仿宋" w:eastAsia="仿宋" w:cs="仿宋"/>
          <w:sz w:val="24"/>
        </w:rPr>
        <w:t>按约定期限完成相关工作，并对工作质量负责；对甲方提出的整改意见，乙方应按甲方要求无条件修改和完善</w:t>
      </w:r>
      <w:r>
        <w:rPr>
          <w:rFonts w:ascii="仿宋" w:hAnsi="仿宋" w:eastAsia="仿宋" w:cs="仿宋"/>
          <w:sz w:val="24"/>
        </w:rPr>
        <w:t>。</w:t>
      </w:r>
    </w:p>
    <w:p w14:paraId="7DD1797D">
      <w:pPr>
        <w:tabs>
          <w:tab w:val="left" w:pos="756"/>
        </w:tabs>
        <w:overflowPunct w:val="0"/>
        <w:autoSpaceDE w:val="0"/>
        <w:autoSpaceDN w:val="0"/>
        <w:spacing w:line="336" w:lineRule="auto"/>
        <w:ind w:left="17" w:leftChars="8" w:right="-2" w:firstLine="480" w:firstLineChars="200"/>
        <w:jc w:val="left"/>
        <w:rPr>
          <w:rFonts w:ascii="仿宋" w:hAnsi="仿宋" w:eastAsia="仿宋" w:cs="仿宋"/>
          <w:sz w:val="24"/>
        </w:rPr>
      </w:pPr>
      <w:r>
        <w:rPr>
          <w:rFonts w:hint="eastAsia" w:ascii="仿宋" w:hAnsi="仿宋" w:eastAsia="仿宋" w:cs="仿宋"/>
          <w:sz w:val="24"/>
        </w:rPr>
        <w:t>2.</w:t>
      </w:r>
      <w:r>
        <w:rPr>
          <w:rFonts w:ascii="仿宋" w:hAnsi="仿宋" w:eastAsia="仿宋" w:cs="仿宋"/>
          <w:sz w:val="24"/>
        </w:rPr>
        <w:t>乙方将认真履行保密义务，在对甲方</w:t>
      </w:r>
      <w:r>
        <w:rPr>
          <w:rFonts w:hint="eastAsia" w:ascii="仿宋" w:hAnsi="仿宋" w:eastAsia="仿宋" w:cs="仿宋"/>
          <w:sz w:val="24"/>
        </w:rPr>
        <w:t>服务过程</w:t>
      </w:r>
      <w:r>
        <w:rPr>
          <w:rFonts w:ascii="仿宋" w:hAnsi="仿宋" w:eastAsia="仿宋" w:cs="仿宋"/>
          <w:sz w:val="24"/>
        </w:rPr>
        <w:t>中知悉的甲方</w:t>
      </w:r>
      <w:r>
        <w:rPr>
          <w:rFonts w:hint="eastAsia" w:ascii="仿宋" w:hAnsi="仿宋" w:eastAsia="仿宋" w:cs="仿宋"/>
          <w:sz w:val="24"/>
        </w:rPr>
        <w:t>未公</w:t>
      </w:r>
      <w:r>
        <w:rPr>
          <w:rFonts w:ascii="仿宋" w:hAnsi="仿宋" w:eastAsia="仿宋" w:cs="仿宋"/>
          <w:sz w:val="24"/>
        </w:rPr>
        <w:t>开的数据及文件资料</w:t>
      </w:r>
      <w:r>
        <w:rPr>
          <w:rFonts w:hint="eastAsia" w:ascii="仿宋" w:hAnsi="仿宋" w:eastAsia="仿宋" w:cs="仿宋"/>
          <w:sz w:val="24"/>
        </w:rPr>
        <w:t>等</w:t>
      </w:r>
      <w:r>
        <w:rPr>
          <w:rFonts w:ascii="仿宋" w:hAnsi="仿宋" w:eastAsia="仿宋" w:cs="仿宋"/>
          <w:sz w:val="24"/>
        </w:rPr>
        <w:t>进行保密，保证不泄露给任何第三方或用于本合同项目外目的，并承担因泄露信息给甲方造成的全部损失。</w:t>
      </w:r>
    </w:p>
    <w:p w14:paraId="2AA3FF2C">
      <w:pPr>
        <w:adjustRightInd w:val="0"/>
        <w:snapToGrid w:val="0"/>
        <w:spacing w:line="360" w:lineRule="auto"/>
        <w:ind w:firstLine="480" w:firstLineChars="200"/>
      </w:pPr>
      <w:r>
        <w:rPr>
          <w:rFonts w:hint="eastAsia" w:ascii="仿宋" w:hAnsi="仿宋" w:eastAsia="仿宋" w:cs="仿宋"/>
          <w:sz w:val="24"/>
        </w:rPr>
        <w:t>3.</w:t>
      </w:r>
      <w:r>
        <w:rPr>
          <w:rFonts w:ascii="仿宋" w:hAnsi="仿宋" w:eastAsia="仿宋" w:cs="仿宋"/>
          <w:sz w:val="24"/>
        </w:rPr>
        <w:t>未经甲方书面许可，乙方不得将本合同中的权利、义务转让给第三方，不得分包、转包给第三方。</w:t>
      </w:r>
    </w:p>
    <w:p w14:paraId="39327E3D">
      <w:pPr>
        <w:adjustRightInd w:val="0"/>
        <w:snapToGrid w:val="0"/>
        <w:spacing w:line="360" w:lineRule="auto"/>
        <w:ind w:firstLine="480" w:firstLineChars="200"/>
        <w:rPr>
          <w:rFonts w:hint="eastAsia" w:eastAsia="仿宋_GB2312"/>
          <w:sz w:val="24"/>
        </w:rPr>
      </w:pPr>
      <w:r>
        <w:rPr>
          <w:rFonts w:eastAsia="仿宋_GB2312"/>
          <w:sz w:val="24"/>
        </w:rPr>
        <w:t>1、</w:t>
      </w:r>
      <w:r>
        <w:rPr>
          <w:rFonts w:hint="eastAsia" w:eastAsia="仿宋_GB2312"/>
          <w:sz w:val="24"/>
        </w:rPr>
        <w:t>违约方应向守约方支付合同总价款</w:t>
      </w:r>
      <w:r>
        <w:rPr>
          <w:rFonts w:eastAsia="仿宋_GB2312"/>
          <w:sz w:val="24"/>
        </w:rPr>
        <w:t xml:space="preserve">  %</w:t>
      </w:r>
      <w:r>
        <w:rPr>
          <w:rFonts w:hint="eastAsia" w:eastAsia="仿宋_GB2312"/>
          <w:sz w:val="24"/>
        </w:rPr>
        <w:t>的违约金，并承担守约方全部损失，包括但不限于守约方因主张权利而发生的保全费、律师费、诉讼费等费用。</w:t>
      </w:r>
    </w:p>
    <w:p w14:paraId="1090062F">
      <w:pPr>
        <w:adjustRightInd w:val="0"/>
        <w:snapToGrid w:val="0"/>
        <w:spacing w:line="360" w:lineRule="auto"/>
        <w:ind w:firstLine="480" w:firstLineChars="200"/>
        <w:rPr>
          <w:rFonts w:eastAsia="仿宋_GB2312"/>
          <w:sz w:val="24"/>
        </w:rPr>
      </w:pPr>
      <w:r>
        <w:rPr>
          <w:rFonts w:eastAsia="仿宋_GB2312"/>
          <w:sz w:val="24"/>
        </w:rPr>
        <w:t>2、乙方履约延误</w:t>
      </w:r>
    </w:p>
    <w:p w14:paraId="30A64674">
      <w:pPr>
        <w:adjustRightInd w:val="0"/>
        <w:snapToGrid w:val="0"/>
        <w:spacing w:line="360" w:lineRule="auto"/>
        <w:ind w:firstLine="480" w:firstLineChars="200"/>
        <w:rPr>
          <w:rFonts w:eastAsia="仿宋_GB2312"/>
          <w:sz w:val="24"/>
        </w:rPr>
      </w:pPr>
      <w:r>
        <w:rPr>
          <w:rFonts w:eastAsia="仿宋_GB2312"/>
          <w:sz w:val="24"/>
        </w:rPr>
        <w:t>2-1、如乙方事先未征得甲方同意并得到甲方的谅解而单方面延迟执行合同，将按违约终止合同。</w:t>
      </w:r>
    </w:p>
    <w:p w14:paraId="677A35EB">
      <w:pPr>
        <w:adjustRightInd w:val="0"/>
        <w:snapToGrid w:val="0"/>
        <w:spacing w:line="360" w:lineRule="auto"/>
        <w:ind w:firstLine="480" w:firstLineChars="200"/>
        <w:rPr>
          <w:rFonts w:eastAsia="仿宋_GB2312"/>
          <w:sz w:val="24"/>
        </w:rPr>
      </w:pPr>
      <w:r>
        <w:rPr>
          <w:rFonts w:eastAsia="仿宋_GB2312"/>
          <w:sz w:val="24"/>
        </w:rPr>
        <w:t>2-2、在履行合同过程中，如果乙方遇到可能妨碍按时提供服务的情况，应及时以书面形式将拖延的事实，可能拖延的期限和理由通知甲方。甲方在收到乙方通知后，应尽快对情况进行评价，并确定是否通过修改合同，或对乙方加收误期赔偿金。每延误一周的赔偿费按合同金额的百分之零点五（0.5%）计收，直至提供服务为止。误期赔偿费的最高限额为合同价格的百分之五（5%）。一旦达到误期赔偿费的最高限额，甲方可终止合同。</w:t>
      </w:r>
    </w:p>
    <w:p w14:paraId="4F0F874C">
      <w:pPr>
        <w:adjustRightInd w:val="0"/>
        <w:snapToGrid w:val="0"/>
        <w:spacing w:line="360" w:lineRule="auto"/>
        <w:ind w:firstLine="480" w:firstLineChars="200"/>
        <w:rPr>
          <w:rFonts w:eastAsia="仿宋_GB2312"/>
          <w:sz w:val="24"/>
        </w:rPr>
      </w:pPr>
      <w:r>
        <w:rPr>
          <w:rFonts w:eastAsia="仿宋_GB2312"/>
          <w:sz w:val="24"/>
        </w:rPr>
        <w:t>3、违约终止合同：未按合同要求提供服务或不能满足技术要求，甲方会同监督机构有权终止合同，对乙方违约行为进行追究，同时按政府采购法的有关规定进行相应的处罚。</w:t>
      </w:r>
    </w:p>
    <w:p w14:paraId="47C7D1CB">
      <w:pPr>
        <w:adjustRightInd w:val="0"/>
        <w:snapToGrid w:val="0"/>
        <w:spacing w:line="360" w:lineRule="auto"/>
        <w:ind w:firstLine="480" w:firstLineChars="200"/>
        <w:rPr>
          <w:rFonts w:hint="eastAsia" w:eastAsia="仿宋_GB2312"/>
          <w:sz w:val="24"/>
        </w:rPr>
      </w:pPr>
      <w:r>
        <w:rPr>
          <w:rFonts w:hint="eastAsia" w:eastAsia="仿宋_GB2312"/>
          <w:sz w:val="24"/>
        </w:rPr>
        <w:t>4、乙方未经甲方书面许可将本合同中的权利、义务转让给第三方，或将合同转包、分包给第三方的，乙方应按合同总金额的  %向甲方支付违约金，同时甲方有权单方解除本合同。</w:t>
      </w:r>
    </w:p>
    <w:p w14:paraId="354BE211">
      <w:pPr>
        <w:adjustRightInd w:val="0"/>
        <w:snapToGrid w:val="0"/>
        <w:spacing w:line="360" w:lineRule="auto"/>
        <w:ind w:firstLine="480" w:firstLineChars="200"/>
        <w:rPr>
          <w:rFonts w:eastAsia="仿宋_GB2312"/>
          <w:sz w:val="24"/>
        </w:rPr>
      </w:pPr>
      <w:r>
        <w:rPr>
          <w:rFonts w:hint="eastAsia" w:eastAsia="仿宋_GB2312"/>
          <w:sz w:val="24"/>
        </w:rPr>
        <w:t>5、乙方违反保密条款的，应按合同总价款的  %向甲方支付违约金，同时甲方有权单方解除合同；因违反保密条款给甲方造成损失的，乙方还应赔偿甲方全部损失。</w:t>
      </w:r>
    </w:p>
    <w:p w14:paraId="33B5AA90">
      <w:pPr>
        <w:adjustRightInd w:val="0"/>
        <w:snapToGrid w:val="0"/>
        <w:spacing w:line="360" w:lineRule="auto"/>
        <w:ind w:firstLine="480" w:firstLineChars="200"/>
      </w:pPr>
      <w:r>
        <w:rPr>
          <w:rFonts w:hint="eastAsia" w:eastAsia="仿宋_GB2312"/>
          <w:sz w:val="24"/>
        </w:rPr>
        <w:t>6．违约责任所称全部损失包含直接损失和简介损失，即包含但不限于直接损失、为维护合法权利而发生的诉讼费、律师费、差旅费等。</w:t>
      </w:r>
    </w:p>
    <w:p w14:paraId="2ABDF13C">
      <w:pPr>
        <w:adjustRightInd w:val="0"/>
        <w:snapToGrid w:val="0"/>
        <w:spacing w:line="360" w:lineRule="auto"/>
        <w:ind w:firstLine="480" w:firstLineChars="200"/>
        <w:rPr>
          <w:rFonts w:eastAsia="仿宋_GB2312"/>
          <w:sz w:val="24"/>
        </w:rPr>
      </w:pPr>
      <w:bookmarkStart w:id="6" w:name="_Toc19515393"/>
      <w:r>
        <w:rPr>
          <w:rFonts w:eastAsia="仿宋_GB2312"/>
          <w:sz w:val="24"/>
        </w:rPr>
        <w:t>八、合同组成</w:t>
      </w:r>
      <w:bookmarkEnd w:id="6"/>
    </w:p>
    <w:p w14:paraId="5A95CA49">
      <w:pPr>
        <w:adjustRightInd w:val="0"/>
        <w:snapToGrid w:val="0"/>
        <w:spacing w:line="360" w:lineRule="auto"/>
        <w:ind w:firstLine="480" w:firstLineChars="200"/>
        <w:rPr>
          <w:rFonts w:eastAsia="仿宋_GB2312"/>
          <w:sz w:val="24"/>
        </w:rPr>
      </w:pPr>
      <w:r>
        <w:rPr>
          <w:rFonts w:eastAsia="仿宋_GB2312"/>
          <w:sz w:val="24"/>
        </w:rPr>
        <w:t>1、</w:t>
      </w:r>
      <w:r>
        <w:rPr>
          <w:rFonts w:hint="eastAsia" w:eastAsia="仿宋_GB2312"/>
          <w:sz w:val="24"/>
        </w:rPr>
        <w:t>成交</w:t>
      </w:r>
      <w:r>
        <w:rPr>
          <w:rFonts w:eastAsia="仿宋_GB2312"/>
          <w:sz w:val="24"/>
        </w:rPr>
        <w:t>通知书</w:t>
      </w:r>
    </w:p>
    <w:p w14:paraId="535A0E7A">
      <w:pPr>
        <w:adjustRightInd w:val="0"/>
        <w:snapToGrid w:val="0"/>
        <w:spacing w:line="360" w:lineRule="auto"/>
        <w:ind w:firstLine="480" w:firstLineChars="200"/>
        <w:rPr>
          <w:rFonts w:eastAsia="仿宋_GB2312"/>
          <w:sz w:val="24"/>
        </w:rPr>
      </w:pPr>
      <w:r>
        <w:rPr>
          <w:rFonts w:eastAsia="仿宋_GB2312"/>
          <w:sz w:val="24"/>
        </w:rPr>
        <w:t>2、合同文件</w:t>
      </w:r>
    </w:p>
    <w:p w14:paraId="5DC52692">
      <w:pPr>
        <w:adjustRightInd w:val="0"/>
        <w:snapToGrid w:val="0"/>
        <w:spacing w:line="360" w:lineRule="auto"/>
        <w:ind w:firstLine="480" w:firstLineChars="200"/>
        <w:rPr>
          <w:rFonts w:eastAsia="仿宋_GB2312"/>
          <w:sz w:val="24"/>
        </w:rPr>
      </w:pPr>
      <w:r>
        <w:rPr>
          <w:rFonts w:eastAsia="仿宋_GB2312"/>
          <w:sz w:val="24"/>
        </w:rPr>
        <w:t>3、国家相关规范及标准</w:t>
      </w:r>
    </w:p>
    <w:p w14:paraId="4CFE90ED">
      <w:pPr>
        <w:adjustRightInd w:val="0"/>
        <w:snapToGrid w:val="0"/>
        <w:spacing w:line="360" w:lineRule="auto"/>
        <w:ind w:firstLine="480" w:firstLineChars="200"/>
        <w:rPr>
          <w:rFonts w:eastAsia="仿宋_GB2312"/>
          <w:sz w:val="24"/>
        </w:rPr>
      </w:pPr>
      <w:r>
        <w:rPr>
          <w:rFonts w:eastAsia="仿宋_GB2312"/>
          <w:sz w:val="24"/>
        </w:rPr>
        <w:t>4、</w:t>
      </w:r>
      <w:r>
        <w:rPr>
          <w:rFonts w:hint="eastAsia" w:eastAsia="仿宋_GB2312"/>
          <w:sz w:val="24"/>
        </w:rPr>
        <w:t>竞争性磋商文件</w:t>
      </w:r>
    </w:p>
    <w:p w14:paraId="45FAC041">
      <w:pPr>
        <w:adjustRightInd w:val="0"/>
        <w:snapToGrid w:val="0"/>
        <w:spacing w:line="360" w:lineRule="auto"/>
        <w:ind w:firstLine="480" w:firstLineChars="200"/>
        <w:rPr>
          <w:rFonts w:eastAsia="仿宋_GB2312"/>
          <w:sz w:val="24"/>
        </w:rPr>
      </w:pPr>
      <w:r>
        <w:rPr>
          <w:rFonts w:eastAsia="仿宋_GB2312"/>
          <w:sz w:val="24"/>
        </w:rPr>
        <w:t>5、</w:t>
      </w:r>
      <w:r>
        <w:rPr>
          <w:rFonts w:hint="eastAsia" w:eastAsia="仿宋_GB2312"/>
          <w:sz w:val="24"/>
        </w:rPr>
        <w:t>成交供应商的响应</w:t>
      </w:r>
      <w:r>
        <w:rPr>
          <w:rFonts w:eastAsia="仿宋_GB2312"/>
          <w:sz w:val="24"/>
        </w:rPr>
        <w:t>文件</w:t>
      </w:r>
    </w:p>
    <w:p w14:paraId="5199A0FD">
      <w:pPr>
        <w:adjustRightInd w:val="0"/>
        <w:snapToGrid w:val="0"/>
        <w:spacing w:line="360" w:lineRule="auto"/>
        <w:ind w:firstLine="480" w:firstLineChars="200"/>
        <w:rPr>
          <w:rFonts w:eastAsia="仿宋_GB2312"/>
          <w:sz w:val="24"/>
        </w:rPr>
      </w:pPr>
      <w:bookmarkStart w:id="7" w:name="_Toc19515394"/>
      <w:r>
        <w:rPr>
          <w:rFonts w:hint="eastAsia" w:eastAsia="仿宋_GB2312"/>
          <w:sz w:val="24"/>
        </w:rPr>
        <w:t>九</w:t>
      </w:r>
      <w:r>
        <w:rPr>
          <w:rFonts w:eastAsia="仿宋_GB2312"/>
          <w:sz w:val="24"/>
        </w:rPr>
        <w:t>、解决争议的方法</w:t>
      </w:r>
      <w:bookmarkEnd w:id="7"/>
    </w:p>
    <w:p w14:paraId="0C09ED03">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凡因本合同引起的或与本合同有关的争议，双方应友好协商解决。协商不成时，双方均同意采用以下第（）种争议解决方式：</w:t>
      </w:r>
    </w:p>
    <w:p w14:paraId="3843D7EB">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1</w:t>
      </w:r>
      <w:r>
        <w:rPr>
          <w:rFonts w:eastAsia="仿宋_GB2312"/>
          <w:kern w:val="0"/>
          <w:sz w:val="24"/>
        </w:rPr>
        <w:t>、甲、乙双方均同意向（甲方所在地人民法院）提起诉讼。</w:t>
      </w:r>
    </w:p>
    <w:p w14:paraId="33874BF8">
      <w:pPr>
        <w:widowControl/>
        <w:autoSpaceDE w:val="0"/>
        <w:autoSpaceDN w:val="0"/>
        <w:snapToGrid w:val="0"/>
        <w:spacing w:line="360" w:lineRule="auto"/>
        <w:ind w:right="-110" w:firstLine="480" w:firstLineChars="200"/>
        <w:textAlignment w:val="bottom"/>
        <w:rPr>
          <w:rFonts w:eastAsia="仿宋_GB2312"/>
          <w:kern w:val="0"/>
          <w:sz w:val="24"/>
        </w:rPr>
      </w:pPr>
      <w:r>
        <w:rPr>
          <w:rFonts w:hint="eastAsia" w:eastAsia="仿宋_GB2312"/>
          <w:kern w:val="0"/>
          <w:sz w:val="24"/>
        </w:rPr>
        <w:t>2</w:t>
      </w:r>
      <w:r>
        <w:rPr>
          <w:rFonts w:eastAsia="仿宋_GB2312"/>
          <w:kern w:val="0"/>
          <w:sz w:val="24"/>
        </w:rPr>
        <w:t>、甲、乙双方均同意向（</w:t>
      </w:r>
      <w:r>
        <w:rPr>
          <w:rFonts w:hint="eastAsia" w:eastAsia="仿宋_GB2312"/>
          <w:kern w:val="0"/>
          <w:sz w:val="24"/>
        </w:rPr>
        <w:t>西安市</w:t>
      </w:r>
      <w:r>
        <w:fldChar w:fldCharType="begin"/>
      </w:r>
      <w:r>
        <w:instrText xml:space="preserve"> HYPERLINK "http://www.baidu.com/s?wd=%E4%BB%B2%E8%A3%81%E5%A7%94%E5%91%98%E4%BC%9A&amp;tn=SE_PcZhidaonwhc_ngpagmjz&amp;rsv_dl=gh_pc_zhidao" \t "_blank" </w:instrText>
      </w:r>
      <w:r>
        <w:fldChar w:fldCharType="separate"/>
      </w:r>
      <w:r>
        <w:rPr>
          <w:rFonts w:eastAsia="仿宋_GB2312"/>
          <w:kern w:val="0"/>
          <w:sz w:val="24"/>
        </w:rPr>
        <w:t>仲裁委员会</w:t>
      </w:r>
      <w:r>
        <w:rPr>
          <w:rFonts w:eastAsia="仿宋_GB2312"/>
          <w:kern w:val="0"/>
          <w:sz w:val="24"/>
        </w:rPr>
        <w:fldChar w:fldCharType="end"/>
      </w:r>
      <w:r>
        <w:rPr>
          <w:rFonts w:eastAsia="仿宋_GB2312"/>
          <w:kern w:val="0"/>
          <w:sz w:val="24"/>
        </w:rPr>
        <w:t>）提起仲裁。</w:t>
      </w:r>
    </w:p>
    <w:p w14:paraId="550B1263">
      <w:pPr>
        <w:adjustRightInd w:val="0"/>
        <w:snapToGrid w:val="0"/>
        <w:spacing w:line="360" w:lineRule="auto"/>
        <w:ind w:firstLine="480" w:firstLineChars="200"/>
        <w:rPr>
          <w:rFonts w:eastAsia="仿宋_GB2312"/>
          <w:sz w:val="24"/>
        </w:rPr>
      </w:pPr>
      <w:bookmarkStart w:id="8" w:name="_Toc19515395"/>
      <w:r>
        <w:rPr>
          <w:rFonts w:eastAsia="仿宋_GB2312"/>
          <w:sz w:val="24"/>
        </w:rPr>
        <w:t>十、合同生效及其它</w:t>
      </w:r>
      <w:bookmarkEnd w:id="8"/>
    </w:p>
    <w:p w14:paraId="2CB75D9C">
      <w:pPr>
        <w:widowControl/>
        <w:autoSpaceDE w:val="0"/>
        <w:autoSpaceDN w:val="0"/>
        <w:snapToGrid w:val="0"/>
        <w:spacing w:line="360" w:lineRule="auto"/>
        <w:ind w:right="-110" w:firstLine="480" w:firstLineChars="200"/>
        <w:textAlignment w:val="bottom"/>
        <w:rPr>
          <w:rFonts w:eastAsia="仿宋_GB2312"/>
          <w:kern w:val="0"/>
          <w:sz w:val="24"/>
        </w:rPr>
      </w:pPr>
      <w:r>
        <w:rPr>
          <w:rFonts w:eastAsia="仿宋_GB2312"/>
          <w:kern w:val="0"/>
          <w:sz w:val="24"/>
        </w:rPr>
        <w:t>1、合同未尽事宜、由甲、乙双方协商，作为合同补充，与原合同具有同等法律效力。</w:t>
      </w:r>
    </w:p>
    <w:p w14:paraId="5722CAD5">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2、本合同正本一式份，甲方、乙方双方分别执份，备案份。</w:t>
      </w:r>
    </w:p>
    <w:p w14:paraId="6222CE5D">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3、合同经甲乙双方盖章、签字后生效，合同签订地点为。</w:t>
      </w:r>
    </w:p>
    <w:p w14:paraId="10397D26">
      <w:pPr>
        <w:widowControl/>
        <w:tabs>
          <w:tab w:val="left" w:pos="8391"/>
        </w:tabs>
        <w:autoSpaceDE w:val="0"/>
        <w:autoSpaceDN w:val="0"/>
        <w:snapToGrid w:val="0"/>
        <w:spacing w:line="360" w:lineRule="auto"/>
        <w:ind w:right="-69" w:firstLine="480" w:firstLineChars="200"/>
        <w:textAlignment w:val="bottom"/>
        <w:rPr>
          <w:rFonts w:eastAsia="仿宋_GB2312"/>
          <w:kern w:val="0"/>
          <w:sz w:val="24"/>
        </w:rPr>
      </w:pPr>
      <w:r>
        <w:rPr>
          <w:rFonts w:eastAsia="仿宋_GB2312"/>
          <w:kern w:val="0"/>
          <w:sz w:val="24"/>
        </w:rPr>
        <w:t>4、生效时间：年月日</w:t>
      </w:r>
    </w:p>
    <w:p w14:paraId="59995175">
      <w:pPr>
        <w:widowControl/>
        <w:tabs>
          <w:tab w:val="left" w:pos="8391"/>
        </w:tabs>
        <w:autoSpaceDE w:val="0"/>
        <w:autoSpaceDN w:val="0"/>
        <w:snapToGrid w:val="0"/>
        <w:spacing w:line="360" w:lineRule="auto"/>
        <w:ind w:right="-69" w:firstLine="840" w:firstLineChars="350"/>
        <w:textAlignment w:val="bottom"/>
        <w:rPr>
          <w:rFonts w:eastAsia="仿宋_GB2312"/>
          <w:kern w:val="0"/>
          <w:sz w:val="24"/>
        </w:rPr>
      </w:pPr>
    </w:p>
    <w:tbl>
      <w:tblPr>
        <w:tblStyle w:val="5"/>
        <w:tblW w:w="0" w:type="auto"/>
        <w:jc w:val="center"/>
        <w:tblLayout w:type="fixed"/>
        <w:tblCellMar>
          <w:top w:w="0" w:type="dxa"/>
          <w:left w:w="108" w:type="dxa"/>
          <w:bottom w:w="0" w:type="dxa"/>
          <w:right w:w="108" w:type="dxa"/>
        </w:tblCellMar>
      </w:tblPr>
      <w:tblGrid>
        <w:gridCol w:w="4643"/>
        <w:gridCol w:w="4643"/>
      </w:tblGrid>
      <w:tr w14:paraId="23719AE4">
        <w:tblPrEx>
          <w:tblCellMar>
            <w:top w:w="0" w:type="dxa"/>
            <w:left w:w="108" w:type="dxa"/>
            <w:bottom w:w="0" w:type="dxa"/>
            <w:right w:w="108" w:type="dxa"/>
          </w:tblCellMar>
        </w:tblPrEx>
        <w:trPr>
          <w:jc w:val="center"/>
        </w:trPr>
        <w:tc>
          <w:tcPr>
            <w:tcW w:w="4643" w:type="dxa"/>
          </w:tcPr>
          <w:p w14:paraId="7D8D13B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甲方名称</w:t>
            </w:r>
            <w:r>
              <w:rPr>
                <w:rFonts w:eastAsia="仿宋_GB2312"/>
                <w:spacing w:val="-20"/>
                <w:kern w:val="0"/>
                <w:sz w:val="24"/>
              </w:rPr>
              <w:t>（盖章）</w:t>
            </w:r>
            <w:r>
              <w:rPr>
                <w:rFonts w:hint="eastAsia" w:eastAsia="仿宋_GB2312"/>
                <w:kern w:val="0"/>
                <w:sz w:val="24"/>
              </w:rPr>
              <w:t>：</w:t>
            </w:r>
          </w:p>
          <w:p w14:paraId="57BCDBB4">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7E8BBE8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44BB9DE6">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731EF6B0">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33B60CC8">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c>
          <w:tcPr>
            <w:tcW w:w="4643" w:type="dxa"/>
          </w:tcPr>
          <w:p w14:paraId="0E85E59D">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乙方名称</w:t>
            </w:r>
            <w:r>
              <w:rPr>
                <w:rFonts w:eastAsia="仿宋_GB2312"/>
                <w:spacing w:val="-20"/>
                <w:kern w:val="0"/>
                <w:sz w:val="24"/>
              </w:rPr>
              <w:t>（盖章）</w:t>
            </w:r>
            <w:r>
              <w:rPr>
                <w:rFonts w:hint="eastAsia" w:eastAsia="仿宋_GB2312"/>
                <w:kern w:val="0"/>
                <w:sz w:val="24"/>
              </w:rPr>
              <w:t>：</w:t>
            </w:r>
          </w:p>
          <w:p w14:paraId="7972D44D">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地址：</w:t>
            </w:r>
          </w:p>
          <w:p w14:paraId="48BAD91E">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代表人（签字）：</w:t>
            </w:r>
          </w:p>
          <w:p w14:paraId="77FF8822">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电话：</w:t>
            </w:r>
          </w:p>
          <w:p w14:paraId="3B7B4257">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开户银行：</w:t>
            </w:r>
          </w:p>
          <w:p w14:paraId="2C68CEA1">
            <w:pPr>
              <w:widowControl/>
              <w:autoSpaceDE w:val="0"/>
              <w:autoSpaceDN w:val="0"/>
              <w:snapToGrid w:val="0"/>
              <w:spacing w:line="360" w:lineRule="auto"/>
              <w:ind w:right="-154"/>
              <w:textAlignment w:val="bottom"/>
              <w:rPr>
                <w:rFonts w:eastAsia="仿宋_GB2312"/>
                <w:kern w:val="0"/>
                <w:sz w:val="24"/>
              </w:rPr>
            </w:pPr>
            <w:r>
              <w:rPr>
                <w:rFonts w:eastAsia="仿宋_GB2312"/>
                <w:kern w:val="0"/>
                <w:sz w:val="24"/>
              </w:rPr>
              <w:t>账号：</w:t>
            </w:r>
          </w:p>
        </w:tc>
      </w:tr>
    </w:tbl>
    <w:p w14:paraId="01C209C1">
      <w:pPr>
        <w:pStyle w:val="8"/>
        <w:rPr>
          <w:rFonts w:hint="default"/>
        </w:rPr>
      </w:pPr>
    </w:p>
    <w:p w14:paraId="2A6777A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MzYxMmRiNjE2Y2Y0NGIzMTY3NmFiYWI0ZWZmNGIifQ=="/>
  </w:docVars>
  <w:rsids>
    <w:rsidRoot w:val="00000000"/>
    <w:rsid w:val="1CC57292"/>
    <w:rsid w:val="45F65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w:basedOn w:val="3"/>
    <w:qFormat/>
    <w:uiPriority w:val="0"/>
    <w:pPr>
      <w:spacing w:after="120" w:line="240" w:lineRule="auto"/>
      <w:ind w:firstLine="100" w:firstLineChars="100"/>
    </w:pPr>
  </w:style>
  <w:style w:type="paragraph" w:styleId="3">
    <w:name w:val="Body Text"/>
    <w:basedOn w:val="1"/>
    <w:next w:val="1"/>
    <w:qFormat/>
    <w:uiPriority w:val="99"/>
    <w:pPr>
      <w:spacing w:line="360" w:lineRule="auto"/>
    </w:pPr>
    <w:rPr>
      <w:rFonts w:ascii="Tahoma" w:hAnsi="Tahoma"/>
    </w:rPr>
  </w:style>
  <w:style w:type="paragraph" w:styleId="4">
    <w:name w:val="Title"/>
    <w:basedOn w:val="1"/>
    <w:next w:val="1"/>
    <w:qFormat/>
    <w:uiPriority w:val="0"/>
    <w:pPr>
      <w:spacing w:before="240" w:after="60" w:line="440" w:lineRule="exact"/>
      <w:jc w:val="center"/>
      <w:outlineLvl w:val="0"/>
    </w:pPr>
    <w:rPr>
      <w:rFonts w:ascii="Cambria" w:hAnsi="Cambria"/>
      <w:b/>
      <w:bCs/>
      <w:sz w:val="32"/>
      <w:szCs w:val="32"/>
    </w:rPr>
  </w:style>
  <w:style w:type="character" w:customStyle="1" w:styleId="7">
    <w:name w:val="标题 1 Char1"/>
    <w:autoRedefine/>
    <w:qFormat/>
    <w:uiPriority w:val="99"/>
    <w:rPr>
      <w:rFonts w:ascii="黑体" w:eastAsia="黑体"/>
      <w:sz w:val="52"/>
      <w:lang w:bidi="ar-SA"/>
    </w:rPr>
  </w:style>
  <w:style w:type="paragraph" w:customStyle="1" w:styleId="8">
    <w:name w:val="null3"/>
    <w:autoRedefine/>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1678</Words>
  <Characters>1705</Characters>
  <Lines>0</Lines>
  <Paragraphs>0</Paragraphs>
  <TotalTime>1</TotalTime>
  <ScaleCrop>false</ScaleCrop>
  <LinksUpToDate>false</LinksUpToDate>
  <CharactersWithSpaces>1713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2024-08-26T08:58:00Z</dcterms:created>
  <dc:creator>Administrator</dc:creator>
  <cp:lastModifiedBy>沈肖楠</cp:lastModifiedBy>
  <dcterms:modified xsi:type="dcterms:W3CDTF">2025-05-21T06:23:49Z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355CAE34332B402BBE4B7629044241B0_12</vt:lpwstr>
  </property>
  <property fmtid="{D5CDD505-2E9C-101B-9397-08002B2CF9AE}" pid="4" name="KSOTemplateDocerSaveRecord">
    <vt:lpwstr>eyJoZGlkIjoiZThmMzYxMmRiNjE2Y2Y0NGIzMTY3NmFiYWI0ZWZmNGIiLCJ1c2VySWQiOiI1MTY0MDE0OTcifQ==</vt:lpwstr>
  </property>
</Properties>
</file>