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版本号：SXZHZC2025-CS24920250616001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机关廉政灶采买蔬菜、肉、副食等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SXZHZC2025-CS249</w:t>
      </w:r>
      <w:r>
        <w:br/>
      </w:r>
      <w:r>
        <w:br/>
      </w:r>
      <w:r>
        <w:br/>
      </w:r>
    </w:p>
    <w:p>
      <w:pPr>
        <w:pStyle w:val="null3"/>
        <w:jc w:val="center"/>
        <w:outlineLvl w:val="2"/>
      </w:pPr>
      <w:r>
        <w:rPr>
          <w:rFonts w:ascii="仿宋_GB2312" w:hAnsi="仿宋_GB2312" w:cs="仿宋_GB2312" w:eastAsia="仿宋_GB2312"/>
          <w:sz w:val="28"/>
          <w:b/>
        </w:rPr>
        <w:t>西安市未央区大明宫街道办事处</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西安市未央区大明宫街道办事处</w:t>
      </w:r>
      <w:r>
        <w:rPr>
          <w:rFonts w:ascii="仿宋_GB2312" w:hAnsi="仿宋_GB2312" w:cs="仿宋_GB2312" w:eastAsia="仿宋_GB2312"/>
        </w:rPr>
        <w:t>委托，拟对</w:t>
      </w:r>
      <w:r>
        <w:rPr>
          <w:rFonts w:ascii="仿宋_GB2312" w:hAnsi="仿宋_GB2312" w:cs="仿宋_GB2312" w:eastAsia="仿宋_GB2312"/>
        </w:rPr>
        <w:t>机关廉政灶采买蔬菜、肉、副食等</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机关廉政灶采买蔬菜、肉、副食等</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机关廉政灶采买蔬菜、肉、副食等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采购包1（机关廉政灶采买蔬菜、肉、副食等）：属于专门面向中小企业采购。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3、供应商资质：供应商为代理商的须提供合格有效的《食品经营许可证》；供应商为生产商的须提供合格有效的《食品生产许可证》</w:t>
      </w:r>
    </w:p>
    <w:p>
      <w:pPr>
        <w:pStyle w:val="null3"/>
      </w:pPr>
      <w:r>
        <w:rPr>
          <w:rFonts w:ascii="仿宋_GB2312" w:hAnsi="仿宋_GB2312" w:cs="仿宋_GB2312" w:eastAsia="仿宋_GB2312"/>
        </w:rPr>
        <w:t>4、合格证：供应商须提供所投产品生产企业的《动物防疫条件合格证》（仅肉类）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西安市未央区大明宫街道办事处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西安市未央区大明宫街道凤城一路与仪凤巷十字往南100米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029-86513395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029-86477988</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采购包1：632,320.00元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西安市未央区大明宫街道办事处</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西安市未央区大明宫街道办事处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西安市未央区大明宫街道办事处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包括确认产品的准确产地、规格和数量，对其产品技术指标、质量、重量参数进行逐项检查。 （1）所检产品的指标、质量等级、重量等通过验收达不到磋商文件要求和磋商响 应文件承诺，或在使用中发现买方不能容忍的缺陷等，将视为产品验收不合格，成交供 应商应免费更换或退货。 （2）若发现成交供应商有弄虚作假的故意或随意夸大货物质量、等级与技术性能， 买方除要求退货外，还有权要求成交供应商赔偿其相应的损失。 （3）验收依据 1）合同文本； 2）磋商文件要求和磋商响应承诺； 3）国家和厂方制定的相应的标准和规范。 （4）产品出现质量问题（包装、标签、等级、内在质量问题等），成交供应商必 须收回并更换合格产品；由于食品检验部门抽检出现货物不合格的，成交供应商必须付 经济和法律责任；如因食品质量问题引起食品安全方面的问题，成交供应商负全责。</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机关廉政灶采买蔬菜、肉、副食等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632,320.00</w:t>
      </w:r>
    </w:p>
    <w:p>
      <w:pPr>
        <w:pStyle w:val="null3"/>
      </w:pPr>
      <w:r>
        <w:rPr>
          <w:rFonts w:ascii="仿宋_GB2312" w:hAnsi="仿宋_GB2312" w:cs="仿宋_GB2312" w:eastAsia="仿宋_GB2312"/>
        </w:rPr>
        <w:t>采购包最高限价（元）: 632,320.00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蔬菜、肉、副食等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632,320.00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标的名称：蔬菜、肉、副食等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8"/>
              <w:gridCol w:w="284"/>
              <w:gridCol w:w="1981"/>
            </w:tblGrid>
            <w:tr>
              <w:tc>
                <w:tcPr>
                  <w:tcW w:type="dxa" w:w="28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参数性质</w:t>
                  </w:r>
                </w:p>
              </w:tc>
              <w:tc>
                <w:tcPr>
                  <w:tcW w:type="dxa" w:w="2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序号</w:t>
                  </w:r>
                </w:p>
              </w:tc>
              <w:tc>
                <w:tcPr>
                  <w:tcW w:type="dxa" w:w="198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技术参数与性能指标</w:t>
                  </w:r>
                </w:p>
              </w:tc>
            </w:tr>
            <w:tr>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98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一、采购内容</w:t>
                  </w:r>
                </w:p>
                <w:p>
                  <w:pPr>
                    <w:pStyle w:val="null3"/>
                    <w:ind w:firstLine="480"/>
                    <w:jc w:val="left"/>
                  </w:pPr>
                  <w:r>
                    <w:rPr>
                      <w:rFonts w:ascii="仿宋_GB2312" w:hAnsi="仿宋_GB2312" w:cs="仿宋_GB2312" w:eastAsia="仿宋_GB2312"/>
                      <w:sz w:val="21"/>
                    </w:rPr>
                    <w:t>本次招标内容主要为西安市未央区大明宫街道办事处提供食材采购，供应商需根据采购人要求提供其食堂所需的主副食品，主要内容包括调味品及其他类；粮油类等；蔬菜类、大肉类、水果、水产类、禽蛋类等。</w:t>
                  </w:r>
                </w:p>
              </w:tc>
            </w:tr>
            <w:tr>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198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二、用餐数量及标准</w:t>
                  </w:r>
                </w:p>
                <w:p>
                  <w:pPr>
                    <w:pStyle w:val="null3"/>
                    <w:ind w:firstLine="480"/>
                    <w:jc w:val="left"/>
                  </w:pPr>
                  <w:r>
                    <w:rPr>
                      <w:rFonts w:ascii="仿宋_GB2312" w:hAnsi="仿宋_GB2312" w:cs="仿宋_GB2312" w:eastAsia="仿宋_GB2312"/>
                      <w:sz w:val="21"/>
                    </w:rPr>
                    <w:t>1.正常工作日人数约为 150 人。</w:t>
                  </w:r>
                </w:p>
                <w:p>
                  <w:pPr>
                    <w:pStyle w:val="null3"/>
                    <w:ind w:firstLine="480"/>
                    <w:jc w:val="left"/>
                  </w:pPr>
                  <w:r>
                    <w:rPr>
                      <w:rFonts w:ascii="仿宋_GB2312" w:hAnsi="仿宋_GB2312" w:cs="仿宋_GB2312" w:eastAsia="仿宋_GB2312"/>
                      <w:sz w:val="21"/>
                    </w:rPr>
                    <w:t>2.一般为工作日供货；节假日用餐人数及供货由采购人临时通知。</w:t>
                  </w:r>
                </w:p>
              </w:tc>
            </w:tr>
            <w:tr>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198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三、包装与质量要求</w:t>
                  </w:r>
                </w:p>
                <w:p>
                  <w:pPr>
                    <w:pStyle w:val="null3"/>
                    <w:ind w:firstLine="480"/>
                    <w:jc w:val="both"/>
                  </w:pPr>
                  <w:r>
                    <w:rPr>
                      <w:rFonts w:ascii="仿宋_GB2312" w:hAnsi="仿宋_GB2312" w:cs="仿宋_GB2312" w:eastAsia="仿宋_GB2312"/>
                      <w:sz w:val="21"/>
                    </w:rPr>
                    <w:t>1.货物包装应完好无破漏，可视的内容物无腐败霉变或影响使用的变型，不存在危及人身、财产安全的不合理危险。</w:t>
                  </w:r>
                </w:p>
                <w:p>
                  <w:pPr>
                    <w:pStyle w:val="null3"/>
                    <w:ind w:firstLine="480"/>
                    <w:jc w:val="both"/>
                  </w:pPr>
                  <w:r>
                    <w:rPr>
                      <w:rFonts w:ascii="仿宋_GB2312" w:hAnsi="仿宋_GB2312" w:cs="仿宋_GB2312" w:eastAsia="仿宋_GB2312"/>
                      <w:sz w:val="21"/>
                    </w:rPr>
                    <w:t>2.食品包装标签应符合《食品安全国家标准预包装食品标签通则》（GB 7718-2011）要求，包括食品名称、配料表、净含量、规格、制造商（或）经销者的名称、地址和联 系方式、生产日期和保质期、贮存条件、食品生产许可证编号、产品标准代号等内容。</w:t>
                  </w:r>
                </w:p>
                <w:p>
                  <w:pPr>
                    <w:pStyle w:val="null3"/>
                    <w:ind w:firstLine="480"/>
                    <w:jc w:val="both"/>
                  </w:pPr>
                  <w:r>
                    <w:rPr>
                      <w:rFonts w:ascii="仿宋_GB2312" w:hAnsi="仿宋_GB2312" w:cs="仿宋_GB2312" w:eastAsia="仿宋_GB2312"/>
                      <w:sz w:val="21"/>
                    </w:rPr>
                    <w:t>3.供应商配送的食品应当符合《产品质量法》和《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保证供应食材原料不存在腐烂过期变质现象，包装物的标识须与内品种一致；包装费用由供应商承担；包装不符合标准或约定，造成货物损毁灭失或其他后果的由供应商承担全部责任。</w:t>
                  </w:r>
                </w:p>
                <w:p>
                  <w:pPr>
                    <w:pStyle w:val="null3"/>
                    <w:ind w:firstLine="480"/>
                    <w:jc w:val="both"/>
                  </w:pPr>
                  <w:r>
                    <w:rPr>
                      <w:rFonts w:ascii="仿宋_GB2312" w:hAnsi="仿宋_GB2312" w:cs="仿宋_GB2312" w:eastAsia="仿宋_GB2312"/>
                      <w:sz w:val="21"/>
                    </w:rPr>
                    <w:t>4.不得提供未经检疫或者检疫不合格的肉类品(含熟制品)、蔬菜制品，对带骨头肉制品按要求切块，须当批次《肉类卫生防疫证明》和蔬菜农药残留检测报告供采购人随时抽查，抽查发现供应商提供的物资合格证明材料与本批次物资不符时，成交供应商应及时免费更换或退货。</w:t>
                  </w:r>
                </w:p>
                <w:p>
                  <w:pPr>
                    <w:pStyle w:val="null3"/>
                    <w:ind w:firstLine="480"/>
                    <w:jc w:val="both"/>
                  </w:pPr>
                  <w:r>
                    <w:rPr>
                      <w:rFonts w:ascii="仿宋_GB2312" w:hAnsi="仿宋_GB2312" w:cs="仿宋_GB2312" w:eastAsia="仿宋_GB2312"/>
                      <w:sz w:val="21"/>
                    </w:rPr>
                    <w:t>5.不得提供来历不明、不能提供相应产品标签的散装物品。</w:t>
                  </w:r>
                </w:p>
                <w:p>
                  <w:pPr>
                    <w:pStyle w:val="null3"/>
                    <w:ind w:firstLine="480"/>
                    <w:jc w:val="both"/>
                  </w:pPr>
                  <w:r>
                    <w:rPr>
                      <w:rFonts w:ascii="仿宋_GB2312" w:hAnsi="仿宋_GB2312" w:cs="仿宋_GB2312" w:eastAsia="仿宋_GB2312"/>
                      <w:sz w:val="21"/>
                    </w:rPr>
                    <w:t>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pPr>
                    <w:pStyle w:val="null3"/>
                    <w:ind w:firstLine="480"/>
                    <w:jc w:val="both"/>
                  </w:pPr>
                  <w:r>
                    <w:rPr>
                      <w:rFonts w:ascii="仿宋_GB2312" w:hAnsi="仿宋_GB2312" w:cs="仿宋_GB2312" w:eastAsia="仿宋_GB2312"/>
                      <w:sz w:val="21"/>
                    </w:rPr>
                    <w:t>7.供应商必须按采购人指定的食品(原料、调料)品名、规格数量等要求及时进行供货。供应商供货不符合要求的，供应商应当及时调换，不得影响甲方使用。</w:t>
                  </w:r>
                </w:p>
                <w:p>
                  <w:pPr>
                    <w:pStyle w:val="null3"/>
                    <w:ind w:firstLine="480"/>
                    <w:jc w:val="both"/>
                  </w:pPr>
                  <w:r>
                    <w:rPr>
                      <w:rFonts w:ascii="仿宋_GB2312" w:hAnsi="仿宋_GB2312" w:cs="仿宋_GB2312" w:eastAsia="仿宋_GB2312"/>
                      <w:sz w:val="21"/>
                    </w:rPr>
                    <w:t>8.物资产品在送达采购人指定地点时保质期剩余时间应在三分之二以上。</w:t>
                  </w:r>
                </w:p>
                <w:p>
                  <w:pPr>
                    <w:pStyle w:val="null3"/>
                    <w:ind w:firstLine="480"/>
                    <w:jc w:val="both"/>
                  </w:pPr>
                  <w:r>
                    <w:rPr>
                      <w:rFonts w:ascii="仿宋_GB2312" w:hAnsi="仿宋_GB2312" w:cs="仿宋_GB2312" w:eastAsia="仿宋_GB2312"/>
                      <w:sz w:val="21"/>
                    </w:rPr>
                    <w:t>9.如因供应商提供的物资，因质量等问题而使采购人人员发生食物中毒事件的，供应商将承担相应的法律责任。</w:t>
                  </w:r>
                </w:p>
                <w:p>
                  <w:pPr>
                    <w:pStyle w:val="null3"/>
                    <w:ind w:firstLine="480"/>
                    <w:jc w:val="both"/>
                  </w:pPr>
                  <w:r>
                    <w:rPr>
                      <w:rFonts w:ascii="仿宋_GB2312" w:hAnsi="仿宋_GB2312" w:cs="仿宋_GB2312" w:eastAsia="仿宋_GB2312"/>
                      <w:sz w:val="21"/>
                    </w:rPr>
                    <w:t>10.供应商配送的食品应无毒、无害，具有完好的形、色、香、味等性状，并符合下述质量要求: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1）调味品及其他类供货：</w:t>
                  </w:r>
                </w:p>
                <w:p>
                  <w:pPr>
                    <w:pStyle w:val="null3"/>
                    <w:ind w:firstLine="480"/>
                    <w:jc w:val="both"/>
                  </w:pPr>
                  <w:r>
                    <w:rPr>
                      <w:rFonts w:ascii="仿宋_GB2312" w:hAnsi="仿宋_GB2312" w:cs="仿宋_GB2312" w:eastAsia="仿宋_GB2312"/>
                      <w:sz w:val="21"/>
                    </w:rPr>
                    <w:t>产品无发霉、无变质、无变味、不掺杂、不掺假、不掺水、干货无受潮；</w:t>
                  </w:r>
                </w:p>
                <w:p>
                  <w:pPr>
                    <w:pStyle w:val="null3"/>
                    <w:ind w:firstLine="480"/>
                    <w:jc w:val="both"/>
                  </w:pPr>
                  <w:r>
                    <w:rPr>
                      <w:rFonts w:ascii="仿宋_GB2312" w:hAnsi="仿宋_GB2312" w:cs="仿宋_GB2312" w:eastAsia="仿宋_GB2312"/>
                      <w:sz w:val="21"/>
                    </w:rPr>
                    <w:t>产品包装应该有产品名称、厂名、厂址或出产地等，应有产品质量合格证明；</w:t>
                  </w:r>
                </w:p>
                <w:p>
                  <w:pPr>
                    <w:pStyle w:val="null3"/>
                    <w:ind w:firstLine="480"/>
                    <w:jc w:val="both"/>
                  </w:pPr>
                  <w:r>
                    <w:rPr>
                      <w:rFonts w:ascii="仿宋_GB2312" w:hAnsi="仿宋_GB2312" w:cs="仿宋_GB2312" w:eastAsia="仿宋_GB2312"/>
                      <w:sz w:val="21"/>
                    </w:rPr>
                    <w:t>产品生产厂家应持有卫生许可证；产品应符合国家食品卫生法规规定的标准。</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2）食用油供货:</w:t>
                  </w:r>
                </w:p>
                <w:p>
                  <w:pPr>
                    <w:pStyle w:val="null3"/>
                    <w:ind w:firstLine="480"/>
                    <w:jc w:val="both"/>
                  </w:pPr>
                  <w:r>
                    <w:rPr>
                      <w:rFonts w:ascii="仿宋_GB2312" w:hAnsi="仿宋_GB2312" w:cs="仿宋_GB2312" w:eastAsia="仿宋_GB2312"/>
                      <w:sz w:val="21"/>
                    </w:rPr>
                    <w:t>食用油为非转基因食用油，品牌必须由采购人指定，应符合</w:t>
                  </w:r>
                  <w:r>
                    <w:rPr>
                      <w:rFonts w:ascii="仿宋_GB2312" w:hAnsi="仿宋_GB2312" w:cs="仿宋_GB2312" w:eastAsia="仿宋_GB2312"/>
                      <w:sz w:val="21"/>
                    </w:rPr>
                    <w:t>“国家标准一级”产品质量标准。</w:t>
                  </w:r>
                </w:p>
                <w:p>
                  <w:pPr>
                    <w:pStyle w:val="null3"/>
                    <w:ind w:firstLine="480"/>
                    <w:jc w:val="both"/>
                  </w:pPr>
                  <w:r>
                    <w:rPr>
                      <w:rFonts w:ascii="仿宋_GB2312" w:hAnsi="仿宋_GB2312" w:cs="仿宋_GB2312" w:eastAsia="仿宋_GB2312"/>
                      <w:sz w:val="21"/>
                    </w:rPr>
                    <w:t>食用油应外包装完好，有</w:t>
                  </w:r>
                  <w:r>
                    <w:rPr>
                      <w:rFonts w:ascii="仿宋_GB2312" w:hAnsi="仿宋_GB2312" w:cs="仿宋_GB2312" w:eastAsia="仿宋_GB2312"/>
                      <w:sz w:val="21"/>
                    </w:rPr>
                    <w:t>SC 标志，标明品名、厂名、重量、生产日期、保质期或保存期、执行标准，剩余保存期不少于保质期的三分之二，具有产品合格证。具有正常植物油的色泽、透明度、气味和滋味，无焦臭、酸败及其他异味。</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3）豆制品供货：</w:t>
                  </w:r>
                </w:p>
                <w:p>
                  <w:pPr>
                    <w:pStyle w:val="null3"/>
                    <w:ind w:firstLine="480"/>
                    <w:jc w:val="both"/>
                  </w:pPr>
                  <w:r>
                    <w:rPr>
                      <w:rFonts w:ascii="仿宋_GB2312" w:hAnsi="仿宋_GB2312" w:cs="仿宋_GB2312" w:eastAsia="仿宋_GB2312"/>
                      <w:sz w:val="21"/>
                    </w:rPr>
                    <w:t>豆腐、豆腐干、绿豆芽、黄豆芽、红豆等；须保证食材干净、不含非食品用化学物质、按统一标准加工、码放整齐、无须二次处理可以直接进行熟加工。</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4）蔬菜供货:</w:t>
                  </w:r>
                </w:p>
                <w:p>
                  <w:pPr>
                    <w:pStyle w:val="null3"/>
                    <w:ind w:firstLine="480"/>
                    <w:jc w:val="both"/>
                  </w:pPr>
                  <w:r>
                    <w:rPr>
                      <w:rFonts w:ascii="仿宋_GB2312" w:hAnsi="仿宋_GB2312" w:cs="仿宋_GB2312" w:eastAsia="仿宋_GB2312"/>
                      <w:sz w:val="21"/>
                    </w:rPr>
                    <w:t>供应商销售给采购人的蔬菜应当是新鲜、青嫩、干净、无腐烂、无杂质、无杂草、无黄叶、无老叶、无浸水泡水或注水，并提供农药残留检测报告。</w:t>
                  </w:r>
                </w:p>
                <w:p>
                  <w:pPr>
                    <w:pStyle w:val="null3"/>
                    <w:ind w:firstLine="480"/>
                    <w:jc w:val="both"/>
                  </w:pPr>
                  <w:r>
                    <w:rPr>
                      <w:rFonts w:ascii="仿宋_GB2312" w:hAnsi="仿宋_GB2312" w:cs="仿宋_GB2312" w:eastAsia="仿宋_GB2312"/>
                      <w:sz w:val="21"/>
                    </w:rPr>
                    <w:t>新鲜指各类蔬菜无腐烂、变质、无臭水伤味、无糟软状态，尤其是黄、绿豆芽鲜菌类应保持应有的新鲜度；</w:t>
                  </w:r>
                </w:p>
                <w:p>
                  <w:pPr>
                    <w:pStyle w:val="null3"/>
                    <w:ind w:firstLine="480"/>
                    <w:jc w:val="both"/>
                  </w:pPr>
                  <w:r>
                    <w:rPr>
                      <w:rFonts w:ascii="仿宋_GB2312" w:hAnsi="仿宋_GB2312" w:cs="仿宋_GB2312" w:eastAsia="仿宋_GB2312"/>
                      <w:sz w:val="21"/>
                    </w:rPr>
                    <w:t>青嫩是指绝大多数蔬菜</w:t>
                  </w:r>
                  <w:r>
                    <w:rPr>
                      <w:rFonts w:ascii="仿宋_GB2312" w:hAnsi="仿宋_GB2312" w:cs="仿宋_GB2312" w:eastAsia="仿宋_GB2312"/>
                      <w:sz w:val="21"/>
                    </w:rPr>
                    <w:t>(除冬瓜、南瓜等外)不但青而且嫩；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无黄叶、老叶主要指青菜、白菜类不能有老叶，鲜蒜、香葱等的杆部应当见白；无浸水、泡水或注水主要指白菜类(含花菜)、瓜果类、鲜菌类及根(块)茎类蔬菜不能浸水、泡水或注水；净菜率须在 95%以上。</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5）肉制品类供货:</w:t>
                  </w:r>
                </w:p>
                <w:p>
                  <w:pPr>
                    <w:pStyle w:val="null3"/>
                    <w:ind w:firstLine="480"/>
                    <w:jc w:val="both"/>
                  </w:pPr>
                  <w:r>
                    <w:rPr>
                      <w:rFonts w:ascii="仿宋_GB2312" w:hAnsi="仿宋_GB2312" w:cs="仿宋_GB2312" w:eastAsia="仿宋_GB2312"/>
                      <w:sz w:val="21"/>
                    </w:rPr>
                    <w:t>产品为在政府规定的屠宰场所屠杀的生鲜禽畜肉；</w:t>
                  </w:r>
                </w:p>
                <w:p>
                  <w:pPr>
                    <w:pStyle w:val="null3"/>
                    <w:ind w:firstLine="480"/>
                    <w:jc w:val="both"/>
                  </w:pPr>
                  <w:r>
                    <w:rPr>
                      <w:rFonts w:ascii="仿宋_GB2312" w:hAnsi="仿宋_GB2312" w:cs="仿宋_GB2312" w:eastAsia="仿宋_GB2312"/>
                      <w:sz w:val="21"/>
                    </w:rPr>
                    <w:t>产品应符合国家食品安全标准；</w:t>
                  </w:r>
                </w:p>
                <w:p>
                  <w:pPr>
                    <w:pStyle w:val="null3"/>
                    <w:ind w:firstLine="480"/>
                    <w:jc w:val="both"/>
                  </w:pPr>
                  <w:r>
                    <w:rPr>
                      <w:rFonts w:ascii="仿宋_GB2312" w:hAnsi="仿宋_GB2312" w:cs="仿宋_GB2312" w:eastAsia="仿宋_GB2312"/>
                      <w:sz w:val="21"/>
                    </w:rPr>
                    <w:t>产品非病死禽畜肉；</w:t>
                  </w:r>
                </w:p>
                <w:p>
                  <w:pPr>
                    <w:pStyle w:val="null3"/>
                    <w:ind w:firstLine="480"/>
                    <w:jc w:val="both"/>
                  </w:pPr>
                  <w:r>
                    <w:rPr>
                      <w:rFonts w:ascii="仿宋_GB2312" w:hAnsi="仿宋_GB2312" w:cs="仿宋_GB2312" w:eastAsia="仿宋_GB2312"/>
                      <w:sz w:val="21"/>
                    </w:rPr>
                    <w:t>产品非</w:t>
                  </w:r>
                  <w:r>
                    <w:rPr>
                      <w:rFonts w:ascii="仿宋_GB2312" w:hAnsi="仿宋_GB2312" w:cs="仿宋_GB2312" w:eastAsia="仿宋_GB2312"/>
                      <w:sz w:val="21"/>
                    </w:rPr>
                    <w:t>“注水”禽畜肉、母猪肉、老猪肉；</w:t>
                  </w:r>
                </w:p>
                <w:p>
                  <w:pPr>
                    <w:pStyle w:val="null3"/>
                    <w:ind w:firstLine="480"/>
                    <w:jc w:val="both"/>
                  </w:pPr>
                  <w:r>
                    <w:rPr>
                      <w:rFonts w:ascii="仿宋_GB2312" w:hAnsi="仿宋_GB2312" w:cs="仿宋_GB2312" w:eastAsia="仿宋_GB2312"/>
                      <w:sz w:val="21"/>
                    </w:rPr>
                    <w:t>产品应经检验、检疫合格，有相应的检验、检疫证明，有当地卫生主管部门出具的动物检疫合格证明、有当地政府部门定点屠宰厂</w:t>
                  </w:r>
                  <w:r>
                    <w:rPr>
                      <w:rFonts w:ascii="仿宋_GB2312" w:hAnsi="仿宋_GB2312" w:cs="仿宋_GB2312" w:eastAsia="仿宋_GB2312"/>
                      <w:sz w:val="21"/>
                    </w:rPr>
                    <w:t>“瘦肉精”残留检测合格证明和肉品品质检验合格证供采购人随时抽查，抽查发现供应商提供的证明材料与鲜肉不符时，成交供应商应及时免费更换或退货。</w:t>
                  </w:r>
                </w:p>
                <w:p>
                  <w:pPr>
                    <w:pStyle w:val="null3"/>
                    <w:ind w:firstLine="480"/>
                    <w:jc w:val="both"/>
                  </w:pPr>
                  <w:r>
                    <w:rPr>
                      <w:rFonts w:ascii="仿宋_GB2312" w:hAnsi="仿宋_GB2312" w:cs="仿宋_GB2312" w:eastAsia="仿宋_GB2312"/>
                      <w:sz w:val="21"/>
                    </w:rPr>
                    <w:t>新鲜的肉类，表面有光泽，颜色均匀，有弹性，不得呈现青紫色死斑。</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6）水果类供货:</w:t>
                  </w:r>
                </w:p>
                <w:p>
                  <w:pPr>
                    <w:pStyle w:val="null3"/>
                    <w:ind w:firstLine="480"/>
                    <w:jc w:val="both"/>
                  </w:pPr>
                  <w:r>
                    <w:rPr>
                      <w:rFonts w:ascii="仿宋_GB2312" w:hAnsi="仿宋_GB2312" w:cs="仿宋_GB2312" w:eastAsia="仿宋_GB2312"/>
                      <w:sz w:val="21"/>
                    </w:rPr>
                    <w:t>果形完整、质地好、新鲜，无影响消费的腐烂变质</w:t>
                  </w:r>
                  <w:r>
                    <w:rPr>
                      <w:rFonts w:ascii="仿宋_GB2312" w:hAnsi="仿宋_GB2312" w:cs="仿宋_GB2312" w:eastAsia="仿宋_GB2312"/>
                      <w:sz w:val="21"/>
                    </w:rPr>
                    <w:t>;清洁，基本不含可见异物，无坏死斑块，无明显的机械伤，基本无虫害，无冷害，无异常的外部水分，但冷藏取出后的冷凝水除外；无异常气味和味道，发育充分，达到适当的成熟度；带柄时，其长度不能超过 1cm。</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7）水产类供货:</w:t>
                  </w:r>
                </w:p>
                <w:p>
                  <w:pPr>
                    <w:pStyle w:val="null3"/>
                    <w:ind w:firstLine="480"/>
                    <w:jc w:val="both"/>
                  </w:pPr>
                  <w:r>
                    <w:rPr>
                      <w:rFonts w:ascii="仿宋_GB2312" w:hAnsi="仿宋_GB2312" w:cs="仿宋_GB2312" w:eastAsia="仿宋_GB2312"/>
                      <w:sz w:val="21"/>
                    </w:rPr>
                    <w:t>1）鱼类：游水生猛，对外界刺激敏感，无翻肚；无嘴烂及其它外表损伤。鱼鳞完整有光泽，不易脱落，眼隔膜有光泽、透明，眼球突出；腹部坚实不膨胀，肛门内部洁净无异常红尾。大小均匀。</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8）禽蛋类供货:</w:t>
                  </w:r>
                </w:p>
                <w:p>
                  <w:pPr>
                    <w:pStyle w:val="null3"/>
                    <w:ind w:firstLine="480"/>
                    <w:jc w:val="both"/>
                  </w:pPr>
                  <w:r>
                    <w:rPr>
                      <w:rFonts w:ascii="仿宋_GB2312" w:hAnsi="仿宋_GB2312" w:cs="仿宋_GB2312" w:eastAsia="仿宋_GB2312"/>
                      <w:sz w:val="21"/>
                    </w:rPr>
                    <w:t>应有禽蛋固有的色泽，鸡蛋为白色至浅红褐色之间，蛋壳清洁无破裂，打开后蛋壳凸起、完整、有韧性，蛋白澄清透明，层次分明，同一批次大小差异不明显。</w:t>
                  </w:r>
                </w:p>
              </w:tc>
            </w:tr>
            <w:tr>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198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四、运输要求：</w:t>
                  </w:r>
                </w:p>
                <w:p>
                  <w:pPr>
                    <w:pStyle w:val="null3"/>
                    <w:ind w:firstLine="480"/>
                    <w:jc w:val="left"/>
                  </w:pPr>
                  <w:r>
                    <w:rPr>
                      <w:rFonts w:ascii="仿宋_GB2312" w:hAnsi="仿宋_GB2312" w:cs="仿宋_GB2312" w:eastAsia="仿宋_GB2312"/>
                      <w:sz w:val="21"/>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w:t>
                  </w:r>
                  <w:r>
                    <w:rPr>
                      <w:rFonts w:ascii="仿宋_GB2312" w:hAnsi="仿宋_GB2312" w:cs="仿宋_GB2312" w:eastAsia="仿宋_GB2312"/>
                      <w:sz w:val="21"/>
                    </w:rPr>
                    <w:t>确保</w:t>
                  </w:r>
                  <w:r>
                    <w:rPr>
                      <w:rFonts w:ascii="仿宋_GB2312" w:hAnsi="仿宋_GB2312" w:cs="仿宋_GB2312" w:eastAsia="仿宋_GB2312"/>
                      <w:sz w:val="21"/>
                    </w:rPr>
                    <w:t>食品的温度。</w:t>
                  </w:r>
                </w:p>
              </w:tc>
            </w:tr>
            <w:tr>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w:t>
                  </w:r>
                </w:p>
              </w:tc>
              <w:tc>
                <w:tcPr>
                  <w:tcW w:type="dxa" w:w="198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五、供货要求：</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1.配送服务响应时间：应采购人要求。</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供货地点：西安市未央区大明宫街道办事处（或采购人指定地点）</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3.5.货物技术规格、参数与要求</w:t>
                  </w:r>
                </w:p>
                <w:p>
                  <w:pPr>
                    <w:pStyle w:val="null3"/>
                    <w:ind w:firstLine="420"/>
                    <w:jc w:val="left"/>
                  </w:pPr>
                  <w:r>
                    <w:rPr>
                      <w:rFonts w:ascii="仿宋_GB2312" w:hAnsi="仿宋_GB2312" w:cs="仿宋_GB2312" w:eastAsia="仿宋_GB2312"/>
                      <w:sz w:val="21"/>
                    </w:rPr>
                    <w:t>凡涉及到食品安全标准、国家标准、产品生产国标准、行业标准、企业标准的按最高标准执行。</w:t>
                  </w:r>
                </w:p>
                <w:p>
                  <w:pPr>
                    <w:pStyle w:val="null3"/>
                    <w:ind w:firstLine="420"/>
                    <w:jc w:val="left"/>
                  </w:pPr>
                  <w:r>
                    <w:rPr>
                      <w:rFonts w:ascii="仿宋_GB2312" w:hAnsi="仿宋_GB2312" w:cs="仿宋_GB2312" w:eastAsia="仿宋_GB2312"/>
                      <w:sz w:val="21"/>
                    </w:rPr>
                    <w:t>6.配送要求：配送时须提供符合采购人要求的证明材料。</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为保证项目质量，供应商应配置足够数量、经验丰富的工作人员完成项目履约。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供应商自备送货车(冷藏或恒温)，安排专人及时供货，装卸费、送货费用及运输安全由供应商承担。</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包括确认产品的准确产地、规格和数量，对其产品技术指标、质量、重量参数进行逐项检查。 （1）所检产品的指标、质量等级、重量等通过验收达不到磋商文件要求和磋商响 应文件承诺，或在使用中发现买方不能容忍的缺陷等，将视为产品验收不合格，成交供 应商应免费更换或退货。 （2）若发现成交供应商有弄虚作假的故意或随意夸大货物质量、等级与技术性能， 买方除要求退货外，还有权要求成交供应商赔偿其相应的损失。 （3）验收依据 1）合同文本； 2）磋商文件要求和磋商响应承诺； 3）国家和厂方制定的相应的标准和规范。 （4）产品出现质量问题（包装、标签、等级、内在质量问题等），成交供应商必 须收回并更换合格产品；由于食品检验部门抽检出现货物不合格的，成交供应商必须付 经济和法律责任；如因食品质量问题引起食品安全方面的问题，成交供应商负全责。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3、支付约定以第八章拟签订采购合同文本为准。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供应商为代理商的须提供合格有效的《食品经营许可证》；供应商为生产商的须提供合格有效的《食品生产许可证》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合格证</w:t>
            </w:r>
          </w:p>
        </w:tc>
        <w:tc>
          <w:tcPr>
            <w:tcW w:type="dxa" w:w="3322"/>
          </w:tcPr>
          <w:p>
            <w:pPr>
              <w:pStyle w:val="null3"/>
            </w:pPr>
            <w:r>
              <w:rPr>
                <w:rFonts w:ascii="仿宋_GB2312" w:hAnsi="仿宋_GB2312" w:cs="仿宋_GB2312" w:eastAsia="仿宋_GB2312"/>
              </w:rPr>
              <w:t>供应商须提供所投产品生产企业的《动物防疫条件合格证》（仅肉类）</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食材采购方案</w:t>
            </w:r>
          </w:p>
        </w:tc>
        <w:tc>
          <w:tcPr>
            <w:tcW w:type="dxa" w:w="2492"/>
          </w:tcPr>
          <w:p>
            <w:pPr>
              <w:pStyle w:val="null3"/>
            </w:pPr>
            <w:r>
              <w:rPr>
                <w:rFonts w:ascii="仿宋_GB2312" w:hAnsi="仿宋_GB2312" w:cs="仿宋_GB2312" w:eastAsia="仿宋_GB2312"/>
              </w:rPr>
              <w:t>评审内容：①服务流程②进货渠道③存储方案④食品配送方案⑤车辆配备⑥食材验收方案。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评审内容：①各岗位管理制度②自查制度③考核制度④奖惩制度。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项目团队配置①组织机构设置方案②团队的职能分工及职责划分方案；③配置人员经验。 评审标准：机构设置合理、团队人员职责划分明确、分工合理、团队配置满足项目需要，人员经验丰富，专业能力能有效保障项目服务质量，内容描述详细，架构清晰的得9分。评审内容有缺陷（缺陷是指：内容粗略、组织结构设置不合理、人员配置不合理、职责划分不明确、人员经验不足、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评审内容：①食品质量②食品安全执行标准③食品卫生④检验检查措施。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w:t>
            </w:r>
          </w:p>
        </w:tc>
        <w:tc>
          <w:tcPr>
            <w:tcW w:type="dxa" w:w="2492"/>
          </w:tcPr>
          <w:p>
            <w:pPr>
              <w:pStyle w:val="null3"/>
            </w:pPr>
            <w:r>
              <w:rPr>
                <w:rFonts w:ascii="仿宋_GB2312" w:hAnsi="仿宋_GB2312" w:cs="仿宋_GB2312" w:eastAsia="仿宋_GB2312"/>
              </w:rPr>
              <w:t>评审内容：①总体进度安排②采买时间计划③运输路线规划④响应的及时性。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评审内容：①车辆故障应急方案②应急保障措施。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评审内容：①售后服务机构地址及负责人的联系方式②售后服务人员安排③售后服务保障措施④供货不及时、出现残次品等补货换货解决方案⑤产品交付采购方后出现质量问题的响应时间。 评审标准：方案内容专门针对本项目编制，切合本项目实际情况及实施要求，内容与要点相符、每个要点均有展开详细的阐述且能够适用于本项目的得10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①供应商针对本项目，每提供一台自有或租赁车辆并随车配备专职配送人员的（人员不得重复配备）计1分，本项最高计2分。 注：供应商自有车辆的，须提供运输车辆行驶证复印件（或扫描件）及车辆的彩色照片，并提供配送人员的驾驶证复印件（或扫描件）及在本单位的劳动合同复印件（或扫描件），未按要求提供的不计分。供应商租赁车辆的，须提供有效租赁合同、运输车辆行驶证复印件（或扫描件）及车辆的彩色照片，并提供配送人员的驾驶证复印件（或扫描件）及在本单位的劳动合同复印件（或扫描件），未按要求提供的不计分。以上资料均需加盖供应商公章，否则不计分。 ②提供投标供应商或所投厂家关于所投产品具有产品质量检测或检验报告（结果为合格）的，每提供一个计1分，最高计3分。 评审依据：提供相关检测或检验报告原件扫描件并加盖供应商公章，同类产品不重复计分，未提供不计分。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提供供应商2022年1月至响应文件递交截止日类似项目业绩（以合同复印件为准），每提供一份业绩得2分，最高得6分。若提供虚假业绩，一经发现，按无效磋商处理。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（2）满足磋商文件实质性要求且最终报价最低（即折扣最高）的供应商的价格为磋商基准价，其价格分为满分30分。 （3）磋商报价得分=（磋商基准价/最终磋商报价）×30。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