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版本号：SXZHZB2025-ZC014-CS20250619001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未央湖街道廉政灶食材采购项目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SXZHZB2025-ZC014-CS</w:t>
      </w:r>
      <w:r>
        <w:br/>
      </w:r>
      <w:r>
        <w:br/>
      </w:r>
      <w:r>
        <w:br/>
      </w:r>
    </w:p>
    <w:p>
      <w:pPr>
        <w:pStyle w:val="null3"/>
        <w:jc w:val="center"/>
        <w:outlineLvl w:val="2"/>
      </w:pPr>
      <w:r>
        <w:rPr>
          <w:rFonts w:ascii="仿宋_GB2312" w:hAnsi="仿宋_GB2312" w:cs="仿宋_GB2312" w:eastAsia="仿宋_GB2312"/>
          <w:sz w:val="28"/>
          <w:b/>
        </w:rPr>
        <w:t>西安市未央区未央湖街道办事处</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西安市未央区未央湖街道办事处</w:t>
      </w:r>
      <w:r>
        <w:rPr>
          <w:rFonts w:ascii="仿宋_GB2312" w:hAnsi="仿宋_GB2312" w:cs="仿宋_GB2312" w:eastAsia="仿宋_GB2312"/>
        </w:rPr>
        <w:t>委托，拟对</w:t>
      </w:r>
      <w:r>
        <w:rPr>
          <w:rFonts w:ascii="仿宋_GB2312" w:hAnsi="仿宋_GB2312" w:cs="仿宋_GB2312" w:eastAsia="仿宋_GB2312"/>
        </w:rPr>
        <w:t>未央湖街道廉政灶食材采购项目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未央湖街道廉政灶食材采购项目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为西安市未央区未央湖街道办事处的廉政灶提供2025年食材采购服务，确保职工按每日要求的餐次和标准正常就餐，保证各项采买品质优良且符合国家（行业）强制性标准及采购人要求。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采购包1（机关院内廉政灶食材采购）：属于专门面向中小企业采购。</w:t>
      </w:r>
    </w:p>
    <w:p>
      <w:pPr>
        <w:pStyle w:val="null3"/>
      </w:pPr>
      <w:r>
        <w:rPr>
          <w:rFonts w:ascii="仿宋_GB2312" w:hAnsi="仿宋_GB2312" w:cs="仿宋_GB2312" w:eastAsia="仿宋_GB2312"/>
        </w:rPr>
        <w:t>采购包2（便民中心廉政灶食材采购）：属于专门面向中小企业采购。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3、资质证书：供应商为生产厂家的须提供《食品生产许可证》，供应商为经销商的须提供有效的《食品经营许可证》；</w:t>
      </w:r>
    </w:p>
    <w:p>
      <w:pPr>
        <w:pStyle w:val="null3"/>
      </w:pPr>
      <w:r>
        <w:rPr>
          <w:rFonts w:ascii="仿宋_GB2312" w:hAnsi="仿宋_GB2312" w:cs="仿宋_GB2312" w:eastAsia="仿宋_GB2312"/>
        </w:rPr>
        <w:t>4、联合体：本项目不接受联合体磋商。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3、资质证书：供应商为生产厂家的须提供《食品生产许可证》，供应商为经销商的须提供有效的《食品经营许可证》；</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西安市未央区未央湖街道办事处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未央区环湖南路3号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029-89606050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采购包1：352,817.00元</w:t>
            </w:r>
          </w:p>
          <w:p>
            <w:pPr>
              <w:pStyle w:val="null3"/>
            </w:pPr>
            <w:r>
              <w:rPr>
                <w:rFonts w:ascii="仿宋_GB2312" w:hAnsi="仿宋_GB2312" w:cs="仿宋_GB2312" w:eastAsia="仿宋_GB2312"/>
              </w:rPr>
              <w:t>采购包2：646,831.00元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的有关规定执行，不足8000元，按8000元计取。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西安市未央区未央湖街道办事处</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西安市未央区未央湖街道办事处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西安市未央区未央湖街道办事处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为西安市未央区未央湖街道办事处的廉政灶提供2025年食材采购服务，确保职工按每日要求的餐次和标准正常就餐，保证各项采买品质优良且符合国家（行业）强制性标准及采购人要求。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352,817.00</w:t>
      </w:r>
    </w:p>
    <w:p>
      <w:pPr>
        <w:pStyle w:val="null3"/>
      </w:pPr>
      <w:r>
        <w:rPr>
          <w:rFonts w:ascii="仿宋_GB2312" w:hAnsi="仿宋_GB2312" w:cs="仿宋_GB2312" w:eastAsia="仿宋_GB2312"/>
        </w:rPr>
        <w:t>采购包最高限价（元）: 352,817.00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352,817.00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646,831.00</w:t>
      </w:r>
    </w:p>
    <w:p>
      <w:pPr>
        <w:pStyle w:val="null3"/>
      </w:pPr>
      <w:r>
        <w:rPr>
          <w:rFonts w:ascii="仿宋_GB2312" w:hAnsi="仿宋_GB2312" w:cs="仿宋_GB2312" w:eastAsia="仿宋_GB2312"/>
        </w:rPr>
        <w:t>采购包最高限价（元）: 646,831.00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646,831.00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（一）采购内容</w:t>
            </w:r>
          </w:p>
          <w:p>
            <w:pPr>
              <w:pStyle w:val="null3"/>
            </w:pPr>
            <w:r>
              <w:rPr>
                <w:rFonts w:ascii="仿宋_GB2312" w:hAnsi="仿宋_GB2312" w:cs="仿宋_GB2312" w:eastAsia="仿宋_GB2312"/>
              </w:rPr>
              <w:t>本次采购内容主要为机关院内廉政灶食材采买项目，供应商需根据采购人要求提供其食堂所需的主副食品，主要内容包括调味品及其他类；粮油类、豆类等；蔬菜类、大肉类、水果、水产类、禽蛋类等。</w:t>
            </w:r>
          </w:p>
          <w:p>
            <w:pPr>
              <w:pStyle w:val="null3"/>
            </w:pPr>
            <w:r>
              <w:rPr>
                <w:rFonts w:ascii="仿宋_GB2312" w:hAnsi="仿宋_GB2312" w:cs="仿宋_GB2312" w:eastAsia="仿宋_GB2312"/>
              </w:rPr>
              <w:t>（二）用餐数量及标准</w:t>
            </w:r>
          </w:p>
          <w:p>
            <w:pPr>
              <w:pStyle w:val="null3"/>
            </w:pPr>
            <w:r>
              <w:rPr>
                <w:rFonts w:ascii="仿宋_GB2312" w:hAnsi="仿宋_GB2312" w:cs="仿宋_GB2312" w:eastAsia="仿宋_GB2312"/>
              </w:rPr>
              <w:t>1、正常工作日机关院内廉政灶就餐人数约为84人。</w:t>
            </w:r>
          </w:p>
          <w:p>
            <w:pPr>
              <w:pStyle w:val="null3"/>
            </w:pPr>
            <w:r>
              <w:rPr>
                <w:rFonts w:ascii="仿宋_GB2312" w:hAnsi="仿宋_GB2312" w:cs="仿宋_GB2312" w:eastAsia="仿宋_GB2312"/>
              </w:rPr>
              <w:t>2、一般为工作日供货；节假日用餐人数及供货由采购人临时通知。</w:t>
            </w:r>
          </w:p>
          <w:p>
            <w:pPr>
              <w:pStyle w:val="null3"/>
            </w:pPr>
            <w:r>
              <w:rPr>
                <w:rFonts w:ascii="仿宋_GB2312" w:hAnsi="仿宋_GB2312" w:cs="仿宋_GB2312" w:eastAsia="仿宋_GB2312"/>
              </w:rPr>
              <w:t>（三）包装与质量要求</w:t>
            </w:r>
          </w:p>
          <w:p>
            <w:pPr>
              <w:pStyle w:val="null3"/>
            </w:pPr>
            <w:r>
              <w:rPr>
                <w:rFonts w:ascii="仿宋_GB2312" w:hAnsi="仿宋_GB2312" w:cs="仿宋_GB2312" w:eastAsia="仿宋_GB2312"/>
              </w:rPr>
              <w:t>1、货物包装应完好无破漏，可视的内容物无腐败霉变或影响使用的变型，不存在危及人身、财产安全的不合理危险。</w:t>
            </w:r>
          </w:p>
          <w:p>
            <w:pPr>
              <w:pStyle w:val="null3"/>
            </w:pPr>
            <w:r>
              <w:rPr>
                <w:rFonts w:ascii="仿宋_GB2312" w:hAnsi="仿宋_GB2312" w:cs="仿宋_GB2312" w:eastAsia="仿宋_GB2312"/>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pPr>
              <w:pStyle w:val="null3"/>
            </w:pPr>
            <w:r>
              <w:rPr>
                <w:rFonts w:ascii="仿宋_GB2312" w:hAnsi="仿宋_GB2312" w:cs="仿宋_GB2312" w:eastAsia="仿宋_GB2312"/>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pPr>
            <w:r>
              <w:rPr>
                <w:rFonts w:ascii="仿宋_GB2312" w:hAnsi="仿宋_GB2312" w:cs="仿宋_GB2312" w:eastAsia="仿宋_GB2312"/>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pPr>
            <w:r>
              <w:rPr>
                <w:rFonts w:ascii="仿宋_GB2312" w:hAnsi="仿宋_GB2312" w:cs="仿宋_GB2312" w:eastAsia="仿宋_GB2312"/>
              </w:rPr>
              <w:t>5、不得提供来历不明、不能提供相应产品标签的散装物品。</w:t>
            </w:r>
          </w:p>
          <w:p>
            <w:pPr>
              <w:pStyle w:val="null3"/>
            </w:pPr>
            <w:r>
              <w:rPr>
                <w:rFonts w:ascii="仿宋_GB2312" w:hAnsi="仿宋_GB2312" w:cs="仿宋_GB2312" w:eastAsia="仿宋_GB2312"/>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7、供应商必须按采购人指定的食品(原料、调料)品名、规格数量等要求及时进行供货。供应商供货不符合要求的，供应商应当及时调换，不得影响采购人使用。</w:t>
            </w:r>
          </w:p>
          <w:p>
            <w:pPr>
              <w:pStyle w:val="null3"/>
            </w:pPr>
            <w:r>
              <w:rPr>
                <w:rFonts w:ascii="仿宋_GB2312" w:hAnsi="仿宋_GB2312" w:cs="仿宋_GB2312" w:eastAsia="仿宋_GB2312"/>
              </w:rPr>
              <w:t>8、物资产品在送达采购人指定地点时保质期剩余时间应在三分之二以上。</w:t>
            </w:r>
          </w:p>
          <w:p>
            <w:pPr>
              <w:pStyle w:val="null3"/>
            </w:pPr>
            <w:r>
              <w:rPr>
                <w:rFonts w:ascii="仿宋_GB2312" w:hAnsi="仿宋_GB2312" w:cs="仿宋_GB2312" w:eastAsia="仿宋_GB2312"/>
              </w:rPr>
              <w:t>9、如因供应商提供的物资，因质量等问题而使采购人人员发生食物中毒事件的，供应商将承担相应的法律责任。</w:t>
            </w:r>
          </w:p>
          <w:p>
            <w:pPr>
              <w:pStyle w:val="null3"/>
            </w:pPr>
            <w:r>
              <w:rPr>
                <w:rFonts w:ascii="仿宋_GB2312" w:hAnsi="仿宋_GB2312" w:cs="仿宋_GB2312" w:eastAsia="仿宋_GB2312"/>
              </w:rPr>
              <w:t>10、供应商配送的食品应无毒、无害，具有完好的形、色、香、味等性状，并符合下述质量要求:</w:t>
            </w:r>
          </w:p>
          <w:p>
            <w:pPr>
              <w:pStyle w:val="null3"/>
            </w:pPr>
            <w:r>
              <w:rPr>
                <w:rFonts w:ascii="仿宋_GB2312" w:hAnsi="仿宋_GB2312" w:cs="仿宋_GB2312" w:eastAsia="仿宋_GB2312"/>
              </w:rPr>
              <w:t>（1）调味品及其他类供货</w:t>
            </w:r>
          </w:p>
          <w:p>
            <w:pPr>
              <w:pStyle w:val="null3"/>
            </w:pPr>
            <w:r>
              <w:rPr>
                <w:rFonts w:ascii="仿宋_GB2312" w:hAnsi="仿宋_GB2312" w:cs="仿宋_GB2312" w:eastAsia="仿宋_GB2312"/>
              </w:rPr>
              <w:t>①产品无发霉、无变质、无变味、不掺杂、不掺假、不掺水、干货无受潮；</w:t>
            </w:r>
          </w:p>
          <w:p>
            <w:pPr>
              <w:pStyle w:val="null3"/>
            </w:pPr>
            <w:r>
              <w:rPr>
                <w:rFonts w:ascii="仿宋_GB2312" w:hAnsi="仿宋_GB2312" w:cs="仿宋_GB2312" w:eastAsia="仿宋_GB2312"/>
              </w:rPr>
              <w:t>②产品包装应该有产品名称、厂名、厂址或出产地等，应有产品质量合格证明；</w:t>
            </w:r>
          </w:p>
          <w:p>
            <w:pPr>
              <w:pStyle w:val="null3"/>
            </w:pPr>
            <w:r>
              <w:rPr>
                <w:rFonts w:ascii="仿宋_GB2312" w:hAnsi="仿宋_GB2312" w:cs="仿宋_GB2312" w:eastAsia="仿宋_GB2312"/>
              </w:rPr>
              <w:t>③产品生产厂家应持有卫生许可证；</w:t>
            </w:r>
          </w:p>
          <w:p>
            <w:pPr>
              <w:pStyle w:val="null3"/>
            </w:pPr>
            <w:r>
              <w:rPr>
                <w:rFonts w:ascii="仿宋_GB2312" w:hAnsi="仿宋_GB2312" w:cs="仿宋_GB2312" w:eastAsia="仿宋_GB2312"/>
              </w:rPr>
              <w:t>④产品应符合国家食品卫生法规定的标准。</w:t>
            </w:r>
          </w:p>
          <w:p>
            <w:pPr>
              <w:pStyle w:val="null3"/>
            </w:pPr>
            <w:r>
              <w:rPr>
                <w:rFonts w:ascii="仿宋_GB2312" w:hAnsi="仿宋_GB2312" w:cs="仿宋_GB2312" w:eastAsia="仿宋_GB2312"/>
              </w:rPr>
              <w:t>（2）食用油供货:</w:t>
            </w:r>
          </w:p>
          <w:p>
            <w:pPr>
              <w:pStyle w:val="null3"/>
            </w:pPr>
            <w:r>
              <w:rPr>
                <w:rFonts w:ascii="仿宋_GB2312" w:hAnsi="仿宋_GB2312" w:cs="仿宋_GB2312" w:eastAsia="仿宋_GB2312"/>
              </w:rPr>
              <w:t>食用油应外包装完好，有SC标志，标明品名、厂名、重量、 生产日期、保质期或保存期、执行标准，剩余保存期不少于保质期的三分之二，具有产品合格证。具有正常植物油的色泽、透明度、气味和滋味，无焦臭、酸败及其他异味。</w:t>
            </w:r>
          </w:p>
          <w:p>
            <w:pPr>
              <w:pStyle w:val="null3"/>
            </w:pPr>
            <w:r>
              <w:rPr>
                <w:rFonts w:ascii="仿宋_GB2312" w:hAnsi="仿宋_GB2312" w:cs="仿宋_GB2312" w:eastAsia="仿宋_GB2312"/>
              </w:rPr>
              <w:t>（3）豆制品供货：</w:t>
            </w:r>
          </w:p>
          <w:p>
            <w:pPr>
              <w:pStyle w:val="null3"/>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（4）蔬菜供货:</w:t>
            </w:r>
          </w:p>
          <w:p>
            <w:pPr>
              <w:pStyle w:val="null3"/>
            </w:pPr>
            <w:r>
              <w:rPr>
                <w:rFonts w:ascii="仿宋_GB2312" w:hAnsi="仿宋_GB2312" w:cs="仿宋_GB2312" w:eastAsia="仿宋_GB2312"/>
              </w:rPr>
              <w:t>①供应商销售给采购人的蔬菜应当是新鲜、青嫩、干净、无腐烂、无杂质、无杂草、无黄叶、无老叶、无浸水泡水或注水，并提供农药残留检测报告。</w:t>
            </w:r>
          </w:p>
          <w:p>
            <w:pPr>
              <w:pStyle w:val="null3"/>
            </w:pPr>
            <w:r>
              <w:rPr>
                <w:rFonts w:ascii="仿宋_GB2312" w:hAnsi="仿宋_GB2312" w:cs="仿宋_GB2312" w:eastAsia="仿宋_GB2312"/>
              </w:rPr>
              <w:t>②新鲜指各类蔬菜无腐烂、变质、无臭水伤味、无糟软状态，尤其是黄、绿豆芽鲜菌类应保持应有的新鲜度；</w:t>
            </w:r>
          </w:p>
          <w:p>
            <w:pPr>
              <w:pStyle w:val="null3"/>
            </w:pPr>
            <w:r>
              <w:rPr>
                <w:rFonts w:ascii="仿宋_GB2312" w:hAnsi="仿宋_GB2312" w:cs="仿宋_GB2312" w:eastAsia="仿宋_GB2312"/>
              </w:rPr>
              <w:t>③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pPr>
            <w:r>
              <w:rPr>
                <w:rFonts w:ascii="仿宋_GB2312" w:hAnsi="仿宋_GB2312" w:cs="仿宋_GB2312" w:eastAsia="仿宋_GB2312"/>
              </w:rPr>
              <w:t>④无黄叶、老叶主要指青菜、白菜类不能有老叶，鲜蒜、香葱等的杆部应当见白；</w:t>
            </w:r>
          </w:p>
          <w:p>
            <w:pPr>
              <w:pStyle w:val="null3"/>
            </w:pPr>
            <w:r>
              <w:rPr>
                <w:rFonts w:ascii="仿宋_GB2312" w:hAnsi="仿宋_GB2312" w:cs="仿宋_GB2312" w:eastAsia="仿宋_GB2312"/>
              </w:rPr>
              <w:t>⑤无浸水、泡水或注水主要指白菜类(含花菜)、瓜果类、鲜菌类及根(块)茎类蔬菜不能浸水、泡水或注水；</w:t>
            </w:r>
          </w:p>
          <w:p>
            <w:pPr>
              <w:pStyle w:val="null3"/>
            </w:pPr>
            <w:r>
              <w:rPr>
                <w:rFonts w:ascii="仿宋_GB2312" w:hAnsi="仿宋_GB2312" w:cs="仿宋_GB2312" w:eastAsia="仿宋_GB2312"/>
              </w:rPr>
              <w:t>⑥净菜率须在95%以上。</w:t>
            </w:r>
          </w:p>
          <w:p>
            <w:pPr>
              <w:pStyle w:val="null3"/>
            </w:pPr>
            <w:r>
              <w:rPr>
                <w:rFonts w:ascii="仿宋_GB2312" w:hAnsi="仿宋_GB2312" w:cs="仿宋_GB2312" w:eastAsia="仿宋_GB2312"/>
              </w:rPr>
              <w:t>（5）肉制品类供货:</w:t>
            </w:r>
          </w:p>
          <w:p>
            <w:pPr>
              <w:pStyle w:val="null3"/>
            </w:pPr>
            <w:r>
              <w:rPr>
                <w:rFonts w:ascii="仿宋_GB2312" w:hAnsi="仿宋_GB2312" w:cs="仿宋_GB2312" w:eastAsia="仿宋_GB2312"/>
              </w:rPr>
              <w:t>①产品为在政府规定的屠宰场所屠杀的生鲜禽畜肉；</w:t>
            </w:r>
          </w:p>
          <w:p>
            <w:pPr>
              <w:pStyle w:val="null3"/>
            </w:pPr>
            <w:r>
              <w:rPr>
                <w:rFonts w:ascii="仿宋_GB2312" w:hAnsi="仿宋_GB2312" w:cs="仿宋_GB2312" w:eastAsia="仿宋_GB2312"/>
              </w:rPr>
              <w:t>②产品应符合国家食品安全标准；</w:t>
            </w:r>
          </w:p>
          <w:p>
            <w:pPr>
              <w:pStyle w:val="null3"/>
            </w:pPr>
            <w:r>
              <w:rPr>
                <w:rFonts w:ascii="仿宋_GB2312" w:hAnsi="仿宋_GB2312" w:cs="仿宋_GB2312" w:eastAsia="仿宋_GB2312"/>
              </w:rPr>
              <w:t>③产品非病死禽畜肉；</w:t>
            </w:r>
          </w:p>
          <w:p>
            <w:pPr>
              <w:pStyle w:val="null3"/>
            </w:pPr>
            <w:r>
              <w:rPr>
                <w:rFonts w:ascii="仿宋_GB2312" w:hAnsi="仿宋_GB2312" w:cs="仿宋_GB2312" w:eastAsia="仿宋_GB2312"/>
              </w:rPr>
              <w:t>④产品非“注水”禽畜肉、母猪肉、老猪肉；</w:t>
            </w:r>
          </w:p>
          <w:p>
            <w:pPr>
              <w:pStyle w:val="null3"/>
            </w:pPr>
            <w:r>
              <w:rPr>
                <w:rFonts w:ascii="仿宋_GB2312" w:hAnsi="仿宋_GB2312" w:cs="仿宋_GB2312" w:eastAsia="仿宋_GB2312"/>
              </w:rPr>
              <w:t>⑤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成交供应商应及时免费更换或退货。</w:t>
            </w:r>
          </w:p>
          <w:p>
            <w:pPr>
              <w:pStyle w:val="null3"/>
            </w:pPr>
            <w:r>
              <w:rPr>
                <w:rFonts w:ascii="仿宋_GB2312" w:hAnsi="仿宋_GB2312" w:cs="仿宋_GB2312" w:eastAsia="仿宋_GB2312"/>
              </w:rPr>
              <w:t>⑥新鲜的肉类，表面有光泽，颜色均匀，有弹性，不得呈现青紫色死斑。</w:t>
            </w:r>
          </w:p>
          <w:p>
            <w:pPr>
              <w:pStyle w:val="null3"/>
            </w:pPr>
            <w:r>
              <w:rPr>
                <w:rFonts w:ascii="仿宋_GB2312" w:hAnsi="仿宋_GB2312" w:cs="仿宋_GB2312" w:eastAsia="仿宋_GB2312"/>
              </w:rPr>
              <w:t>（6）水果类供货:</w:t>
            </w:r>
          </w:p>
          <w:p>
            <w:pPr>
              <w:pStyle w:val="null3"/>
            </w:pPr>
            <w:r>
              <w:rPr>
                <w:rFonts w:ascii="仿宋_GB2312" w:hAnsi="仿宋_GB2312" w:cs="仿宋_GB2312" w:eastAsia="仿宋_GB2312"/>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pPr>
              <w:pStyle w:val="null3"/>
            </w:pPr>
            <w:r>
              <w:rPr>
                <w:rFonts w:ascii="仿宋_GB2312" w:hAnsi="仿宋_GB2312" w:cs="仿宋_GB2312" w:eastAsia="仿宋_GB2312"/>
              </w:rPr>
              <w:t>（7）水产类供货:</w:t>
            </w:r>
          </w:p>
          <w:p>
            <w:pPr>
              <w:pStyle w:val="null3"/>
            </w:pPr>
            <w:r>
              <w:rPr>
                <w:rFonts w:ascii="仿宋_GB2312" w:hAnsi="仿宋_GB2312" w:cs="仿宋_GB2312" w:eastAsia="仿宋_GB2312"/>
              </w:rPr>
              <w:t>鱼类：游水生猛，对外界刺激敏感，无翻肚；无嘴烂及其它外表损伤。鱼鳞完整有光泽，不易脱落，眼隔膜有光泽、透明，眼球突出；腹部坚实不膨胀，肛门内部洁净无异常红尾。大小均匀。</w:t>
            </w:r>
          </w:p>
          <w:p>
            <w:pPr>
              <w:pStyle w:val="null3"/>
            </w:pPr>
            <w:r>
              <w:rPr>
                <w:rFonts w:ascii="仿宋_GB2312" w:hAnsi="仿宋_GB2312" w:cs="仿宋_GB2312" w:eastAsia="仿宋_GB2312"/>
              </w:rPr>
              <w:t>（8）禽蛋类供货:</w:t>
            </w:r>
          </w:p>
          <w:p>
            <w:pPr>
              <w:pStyle w:val="null3"/>
            </w:pPr>
            <w:r>
              <w:rPr>
                <w:rFonts w:ascii="仿宋_GB2312" w:hAnsi="仿宋_GB2312" w:cs="仿宋_GB2312" w:eastAsia="仿宋_GB2312"/>
              </w:rPr>
              <w:t>应有禽蛋固有的色泽，鸡蛋为白色至浅红褐色之间，蛋壳清洁无破裂，打开后蛋壳凸起、完整、有韧性，蛋白澄清透明，层次分明，同一批次大小差异不明显。</w:t>
            </w:r>
          </w:p>
          <w:p>
            <w:pPr>
              <w:pStyle w:val="null3"/>
            </w:pPr>
            <w:r>
              <w:rPr>
                <w:rFonts w:ascii="仿宋_GB2312" w:hAnsi="仿宋_GB2312" w:cs="仿宋_GB2312" w:eastAsia="仿宋_GB2312"/>
              </w:rPr>
              <w:t>（四）运输要求：</w:t>
            </w:r>
          </w:p>
          <w:p>
            <w:pPr>
              <w:pStyle w:val="null3"/>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（五）货物要求</w:t>
            </w:r>
          </w:p>
          <w:p>
            <w:pPr>
              <w:pStyle w:val="null3"/>
            </w:pPr>
            <w:r>
              <w:rPr>
                <w:rFonts w:ascii="仿宋_GB2312" w:hAnsi="仿宋_GB2312" w:cs="仿宋_GB2312" w:eastAsia="仿宋_GB2312"/>
              </w:rPr>
              <w:t>1、供货范围、供货期、交货地点及质量标准</w:t>
            </w:r>
          </w:p>
          <w:p>
            <w:pPr>
              <w:pStyle w:val="null3"/>
            </w:pPr>
            <w:r>
              <w:rPr>
                <w:rFonts w:ascii="仿宋_GB2312" w:hAnsi="仿宋_GB2312" w:cs="仿宋_GB2312" w:eastAsia="仿宋_GB2312"/>
              </w:rPr>
              <w:t>（1）供货期：自合同签订生效之日起1年</w:t>
            </w:r>
          </w:p>
          <w:p>
            <w:pPr>
              <w:pStyle w:val="null3"/>
            </w:pPr>
            <w:r>
              <w:rPr>
                <w:rFonts w:ascii="仿宋_GB2312" w:hAnsi="仿宋_GB2312" w:cs="仿宋_GB2312" w:eastAsia="仿宋_GB2312"/>
              </w:rPr>
              <w:t>（2）配送服务响应时间：每周送货约2次，具体以采购人通知为准</w:t>
            </w:r>
          </w:p>
          <w:p>
            <w:pPr>
              <w:pStyle w:val="null3"/>
            </w:pPr>
            <w:r>
              <w:rPr>
                <w:rFonts w:ascii="仿宋_GB2312" w:hAnsi="仿宋_GB2312" w:cs="仿宋_GB2312" w:eastAsia="仿宋_GB2312"/>
              </w:rPr>
              <w:t>（3）供货地点： 采购人指定地点</w:t>
            </w:r>
          </w:p>
          <w:p>
            <w:pPr>
              <w:pStyle w:val="null3"/>
            </w:pPr>
            <w:r>
              <w:rPr>
                <w:rFonts w:ascii="仿宋_GB2312" w:hAnsi="仿宋_GB2312" w:cs="仿宋_GB2312" w:eastAsia="仿宋_GB2312"/>
              </w:rPr>
              <w:t>（4）质量标准： 合格</w:t>
            </w:r>
          </w:p>
          <w:p>
            <w:pPr>
              <w:pStyle w:val="null3"/>
            </w:pPr>
            <w:r>
              <w:rPr>
                <w:rFonts w:ascii="仿宋_GB2312" w:hAnsi="仿宋_GB2312" w:cs="仿宋_GB2312" w:eastAsia="仿宋_GB2312"/>
              </w:rPr>
              <w:t>2、货物技术规格、参数与要求</w:t>
            </w:r>
          </w:p>
          <w:p>
            <w:pPr>
              <w:pStyle w:val="null3"/>
            </w:pPr>
            <w:r>
              <w:rPr>
                <w:rFonts w:ascii="仿宋_GB2312" w:hAnsi="仿宋_GB2312" w:cs="仿宋_GB2312" w:eastAsia="仿宋_GB2312"/>
              </w:rPr>
              <w:t>凡涉及国家或行业相关标准的以最新标准为准，所有食材均须符合《中华人民共和国食品卫生法》、《动物检疫法》、《食品安全国家标准食品添加剂使用标准》（GB2760-2014）等相关规定。</w:t>
            </w:r>
          </w:p>
          <w:p>
            <w:pPr>
              <w:pStyle w:val="null3"/>
            </w:pPr>
            <w:r>
              <w:rPr>
                <w:rFonts w:ascii="仿宋_GB2312" w:hAnsi="仿宋_GB2312" w:cs="仿宋_GB2312" w:eastAsia="仿宋_GB2312"/>
              </w:rPr>
              <w:t>3、配送要求：配送时须提供的证明材料</w:t>
            </w:r>
          </w:p>
          <w:p>
            <w:pPr>
              <w:pStyle w:val="null3"/>
            </w:pPr>
            <w:r>
              <w:rPr>
                <w:rFonts w:ascii="仿宋_GB2312" w:hAnsi="仿宋_GB2312" w:cs="仿宋_GB2312" w:eastAsia="仿宋_GB2312"/>
              </w:rPr>
              <w:t>成交供应商的资格、资质证明（首次供应时提供）：供应商为生产厂家的须提供《食品生产许可证》，供应商为经销商的须提供有效的《食品经营许可证》；供应商须提供所投产品生产企业的《动物防疫条件合格证》（仅肉类）。</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ind w:firstLine="480"/>
              <w:jc w:val="both"/>
            </w:pPr>
            <w:r>
              <w:rPr>
                <w:rFonts w:ascii="仿宋_GB2312" w:hAnsi="仿宋_GB2312" w:cs="仿宋_GB2312" w:eastAsia="仿宋_GB2312"/>
              </w:rPr>
              <w:t>1、供应商应按照采购人要求的配送清单按照规定时间将所需产品送至采购人指定地点，如采购人遇到紧急情况需要加班的，服务商应保证加班期间食材的供应，并按照采购人要求定期检查、清洗厨房设备，如有任何安全隐患须及时向采购人相关负责人报告。</w:t>
            </w:r>
          </w:p>
          <w:p>
            <w:pPr>
              <w:pStyle w:val="null3"/>
            </w:pPr>
            <w:r>
              <w:rPr>
                <w:rFonts w:ascii="仿宋_GB2312" w:hAnsi="仿宋_GB2312" w:cs="仿宋_GB2312" w:eastAsia="仿宋_GB2312"/>
              </w:rPr>
              <w:t>2、供应商应配合采购人完成扶贫网采购任务。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标的名称：食材配送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（一）采购内容</w:t>
            </w:r>
          </w:p>
          <w:p>
            <w:pPr>
              <w:pStyle w:val="null3"/>
            </w:pPr>
            <w:r>
              <w:rPr>
                <w:rFonts w:ascii="仿宋_GB2312" w:hAnsi="仿宋_GB2312" w:cs="仿宋_GB2312" w:eastAsia="仿宋_GB2312"/>
              </w:rPr>
              <w:t>本次采购内容主要为便民中心廉政灶食材采买项目，供应商需根据采购人要求提供其食堂所需的主副食品，主要内容包括调味品及其他类；粮油类、豆类等；蔬菜类、大肉类、水果、水产类、禽蛋类等。</w:t>
            </w:r>
          </w:p>
          <w:p>
            <w:pPr>
              <w:pStyle w:val="null3"/>
            </w:pPr>
            <w:r>
              <w:rPr>
                <w:rFonts w:ascii="仿宋_GB2312" w:hAnsi="仿宋_GB2312" w:cs="仿宋_GB2312" w:eastAsia="仿宋_GB2312"/>
              </w:rPr>
              <w:t>（二）用餐数量及标准</w:t>
            </w:r>
          </w:p>
          <w:p>
            <w:pPr>
              <w:pStyle w:val="null3"/>
            </w:pPr>
            <w:r>
              <w:rPr>
                <w:rFonts w:ascii="仿宋_GB2312" w:hAnsi="仿宋_GB2312" w:cs="仿宋_GB2312" w:eastAsia="仿宋_GB2312"/>
              </w:rPr>
              <w:t>1、正常工作日便民中心廉政灶就餐人数约为154人。</w:t>
            </w:r>
          </w:p>
          <w:p>
            <w:pPr>
              <w:pStyle w:val="null3"/>
            </w:pPr>
            <w:r>
              <w:rPr>
                <w:rFonts w:ascii="仿宋_GB2312" w:hAnsi="仿宋_GB2312" w:cs="仿宋_GB2312" w:eastAsia="仿宋_GB2312"/>
              </w:rPr>
              <w:t>2、一般为工作日供货；节假日用餐人数及供货由采购人临时通知。</w:t>
            </w:r>
          </w:p>
          <w:p>
            <w:pPr>
              <w:pStyle w:val="null3"/>
            </w:pPr>
            <w:r>
              <w:rPr>
                <w:rFonts w:ascii="仿宋_GB2312" w:hAnsi="仿宋_GB2312" w:cs="仿宋_GB2312" w:eastAsia="仿宋_GB2312"/>
              </w:rPr>
              <w:t>（三）包装与质量要求</w:t>
            </w:r>
          </w:p>
          <w:p>
            <w:pPr>
              <w:pStyle w:val="null3"/>
            </w:pPr>
            <w:r>
              <w:rPr>
                <w:rFonts w:ascii="仿宋_GB2312" w:hAnsi="仿宋_GB2312" w:cs="仿宋_GB2312" w:eastAsia="仿宋_GB2312"/>
              </w:rPr>
              <w:t>1、货物包装应完好无破漏，可视的内容物无腐败霉变或影响使用的变型，不存在危及人身、财产安全的不合理危险。</w:t>
            </w:r>
          </w:p>
          <w:p>
            <w:pPr>
              <w:pStyle w:val="null3"/>
            </w:pPr>
            <w:r>
              <w:rPr>
                <w:rFonts w:ascii="仿宋_GB2312" w:hAnsi="仿宋_GB2312" w:cs="仿宋_GB2312" w:eastAsia="仿宋_GB2312"/>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pPr>
              <w:pStyle w:val="null3"/>
            </w:pPr>
            <w:r>
              <w:rPr>
                <w:rFonts w:ascii="仿宋_GB2312" w:hAnsi="仿宋_GB2312" w:cs="仿宋_GB2312" w:eastAsia="仿宋_GB2312"/>
              </w:rPr>
              <w:t>3、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pPr>
            <w:r>
              <w:rPr>
                <w:rFonts w:ascii="仿宋_GB2312" w:hAnsi="仿宋_GB2312" w:cs="仿宋_GB2312" w:eastAsia="仿宋_GB2312"/>
              </w:rPr>
              <w:t>4、不得提供未经检疫或者检疫不合格的肉类品(含熟制品)、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pPr>
            <w:r>
              <w:rPr>
                <w:rFonts w:ascii="仿宋_GB2312" w:hAnsi="仿宋_GB2312" w:cs="仿宋_GB2312" w:eastAsia="仿宋_GB2312"/>
              </w:rPr>
              <w:t>5、不得提供来历不明、不能提供相应产品标签的散装物品。</w:t>
            </w:r>
          </w:p>
          <w:p>
            <w:pPr>
              <w:pStyle w:val="null3"/>
            </w:pPr>
            <w:r>
              <w:rPr>
                <w:rFonts w:ascii="仿宋_GB2312" w:hAnsi="仿宋_GB2312" w:cs="仿宋_GB2312" w:eastAsia="仿宋_GB2312"/>
              </w:rPr>
              <w:t>6、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pPr>
            <w:r>
              <w:rPr>
                <w:rFonts w:ascii="仿宋_GB2312" w:hAnsi="仿宋_GB2312" w:cs="仿宋_GB2312" w:eastAsia="仿宋_GB2312"/>
              </w:rPr>
              <w:t>7、供应商必须按采购人指定的食品(原料、调料)品名、规格数量等要求及时进行供货。供应商供货不符合要求的，供应商应当及时调换，不得影响采购人使用。</w:t>
            </w:r>
          </w:p>
          <w:p>
            <w:pPr>
              <w:pStyle w:val="null3"/>
            </w:pPr>
            <w:r>
              <w:rPr>
                <w:rFonts w:ascii="仿宋_GB2312" w:hAnsi="仿宋_GB2312" w:cs="仿宋_GB2312" w:eastAsia="仿宋_GB2312"/>
              </w:rPr>
              <w:t>8、物资产品在送达采购人指定地点时保质期剩余时间应在三分之二以上。</w:t>
            </w:r>
          </w:p>
          <w:p>
            <w:pPr>
              <w:pStyle w:val="null3"/>
            </w:pPr>
            <w:r>
              <w:rPr>
                <w:rFonts w:ascii="仿宋_GB2312" w:hAnsi="仿宋_GB2312" w:cs="仿宋_GB2312" w:eastAsia="仿宋_GB2312"/>
              </w:rPr>
              <w:t>9、如因供应商提供的物资，因质量等问题而使采购人人员发生食物中毒事件的，供应商将承担相应的法律责任。</w:t>
            </w:r>
          </w:p>
          <w:p>
            <w:pPr>
              <w:pStyle w:val="null3"/>
            </w:pPr>
            <w:r>
              <w:rPr>
                <w:rFonts w:ascii="仿宋_GB2312" w:hAnsi="仿宋_GB2312" w:cs="仿宋_GB2312" w:eastAsia="仿宋_GB2312"/>
              </w:rPr>
              <w:t>10、供应商配送的食品应无毒、无害，具有完好的形、色、香、味等性状，并符合下述质量要求:</w:t>
            </w:r>
          </w:p>
          <w:p>
            <w:pPr>
              <w:pStyle w:val="null3"/>
            </w:pPr>
            <w:r>
              <w:rPr>
                <w:rFonts w:ascii="仿宋_GB2312" w:hAnsi="仿宋_GB2312" w:cs="仿宋_GB2312" w:eastAsia="仿宋_GB2312"/>
              </w:rPr>
              <w:t>（1）调味品及其他类供货</w:t>
            </w:r>
          </w:p>
          <w:p>
            <w:pPr>
              <w:pStyle w:val="null3"/>
            </w:pPr>
            <w:r>
              <w:rPr>
                <w:rFonts w:ascii="仿宋_GB2312" w:hAnsi="仿宋_GB2312" w:cs="仿宋_GB2312" w:eastAsia="仿宋_GB2312"/>
              </w:rPr>
              <w:t>①产品无发霉、无变质、无变味、不掺杂、不掺假、不掺水、干货无受潮；</w:t>
            </w:r>
          </w:p>
          <w:p>
            <w:pPr>
              <w:pStyle w:val="null3"/>
            </w:pPr>
            <w:r>
              <w:rPr>
                <w:rFonts w:ascii="仿宋_GB2312" w:hAnsi="仿宋_GB2312" w:cs="仿宋_GB2312" w:eastAsia="仿宋_GB2312"/>
              </w:rPr>
              <w:t>②产品包装应该有产品名称、厂名、厂址或出产地等，应有产品质量合格证明；</w:t>
            </w:r>
          </w:p>
          <w:p>
            <w:pPr>
              <w:pStyle w:val="null3"/>
            </w:pPr>
            <w:r>
              <w:rPr>
                <w:rFonts w:ascii="仿宋_GB2312" w:hAnsi="仿宋_GB2312" w:cs="仿宋_GB2312" w:eastAsia="仿宋_GB2312"/>
              </w:rPr>
              <w:t>③产品生产厂家应持有卫生许可证；</w:t>
            </w:r>
          </w:p>
          <w:p>
            <w:pPr>
              <w:pStyle w:val="null3"/>
            </w:pPr>
            <w:r>
              <w:rPr>
                <w:rFonts w:ascii="仿宋_GB2312" w:hAnsi="仿宋_GB2312" w:cs="仿宋_GB2312" w:eastAsia="仿宋_GB2312"/>
              </w:rPr>
              <w:t>④产品应符合国家食品卫生法规定的标准。</w:t>
            </w:r>
          </w:p>
          <w:p>
            <w:pPr>
              <w:pStyle w:val="null3"/>
            </w:pPr>
            <w:r>
              <w:rPr>
                <w:rFonts w:ascii="仿宋_GB2312" w:hAnsi="仿宋_GB2312" w:cs="仿宋_GB2312" w:eastAsia="仿宋_GB2312"/>
              </w:rPr>
              <w:t>（2）食用油供货:</w:t>
            </w:r>
          </w:p>
          <w:p>
            <w:pPr>
              <w:pStyle w:val="null3"/>
            </w:pPr>
            <w:r>
              <w:rPr>
                <w:rFonts w:ascii="仿宋_GB2312" w:hAnsi="仿宋_GB2312" w:cs="仿宋_GB2312" w:eastAsia="仿宋_GB2312"/>
              </w:rPr>
              <w:t>食用油应外包装完好，有SC标志，标明品名、厂名、重量、 生产日期、保质期或保存期、执行标准，剩余保存期不少于保质期的三分之二，具有产品合格证。具有正常植物油的色泽、透明度、气味和滋味，无焦臭、酸败及其他异味。</w:t>
            </w:r>
          </w:p>
          <w:p>
            <w:pPr>
              <w:pStyle w:val="null3"/>
            </w:pPr>
            <w:r>
              <w:rPr>
                <w:rFonts w:ascii="仿宋_GB2312" w:hAnsi="仿宋_GB2312" w:cs="仿宋_GB2312" w:eastAsia="仿宋_GB2312"/>
              </w:rPr>
              <w:t>（3）豆制品供货：</w:t>
            </w:r>
          </w:p>
          <w:p>
            <w:pPr>
              <w:pStyle w:val="null3"/>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p>
            <w:pPr>
              <w:pStyle w:val="null3"/>
            </w:pPr>
            <w:r>
              <w:rPr>
                <w:rFonts w:ascii="仿宋_GB2312" w:hAnsi="仿宋_GB2312" w:cs="仿宋_GB2312" w:eastAsia="仿宋_GB2312"/>
              </w:rPr>
              <w:t>（4）蔬菜供货:</w:t>
            </w:r>
          </w:p>
          <w:p>
            <w:pPr>
              <w:pStyle w:val="null3"/>
            </w:pPr>
            <w:r>
              <w:rPr>
                <w:rFonts w:ascii="仿宋_GB2312" w:hAnsi="仿宋_GB2312" w:cs="仿宋_GB2312" w:eastAsia="仿宋_GB2312"/>
              </w:rPr>
              <w:t>①供应商销售给采购人的蔬菜应当是新鲜、青嫩、干净、无腐烂、无杂质、无杂草、无黄叶、无老叶、无浸水泡水或注水，并提供农药残留检测报告。</w:t>
            </w:r>
          </w:p>
          <w:p>
            <w:pPr>
              <w:pStyle w:val="null3"/>
            </w:pPr>
            <w:r>
              <w:rPr>
                <w:rFonts w:ascii="仿宋_GB2312" w:hAnsi="仿宋_GB2312" w:cs="仿宋_GB2312" w:eastAsia="仿宋_GB2312"/>
              </w:rPr>
              <w:t>②新鲜指各类蔬菜无腐烂、变质、无臭水伤味、无糟软状态，尤其是黄、绿豆芽鲜菌类应保持应有的新鲜度；</w:t>
            </w:r>
          </w:p>
          <w:p>
            <w:pPr>
              <w:pStyle w:val="null3"/>
            </w:pPr>
            <w:r>
              <w:rPr>
                <w:rFonts w:ascii="仿宋_GB2312" w:hAnsi="仿宋_GB2312" w:cs="仿宋_GB2312" w:eastAsia="仿宋_GB2312"/>
              </w:rPr>
              <w:t>③青嫩是指绝大多数蔬菜(除冬瓜、南瓜等外)不但青而且嫩；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pPr>
            <w:r>
              <w:rPr>
                <w:rFonts w:ascii="仿宋_GB2312" w:hAnsi="仿宋_GB2312" w:cs="仿宋_GB2312" w:eastAsia="仿宋_GB2312"/>
              </w:rPr>
              <w:t>④无黄叶、老叶主要指青菜、白菜类不能有老叶，鲜蒜、香葱等的杆部应当见白；</w:t>
            </w:r>
          </w:p>
          <w:p>
            <w:pPr>
              <w:pStyle w:val="null3"/>
            </w:pPr>
            <w:r>
              <w:rPr>
                <w:rFonts w:ascii="仿宋_GB2312" w:hAnsi="仿宋_GB2312" w:cs="仿宋_GB2312" w:eastAsia="仿宋_GB2312"/>
              </w:rPr>
              <w:t>⑤无浸水、泡水或注水主要指白菜类(含花菜)、瓜果类、鲜菌类及根(块)茎类蔬菜不能浸水、泡水或注水；</w:t>
            </w:r>
          </w:p>
          <w:p>
            <w:pPr>
              <w:pStyle w:val="null3"/>
            </w:pPr>
            <w:r>
              <w:rPr>
                <w:rFonts w:ascii="仿宋_GB2312" w:hAnsi="仿宋_GB2312" w:cs="仿宋_GB2312" w:eastAsia="仿宋_GB2312"/>
              </w:rPr>
              <w:t>⑥净菜率须在95%以上。</w:t>
            </w:r>
          </w:p>
          <w:p>
            <w:pPr>
              <w:pStyle w:val="null3"/>
            </w:pPr>
            <w:r>
              <w:rPr>
                <w:rFonts w:ascii="仿宋_GB2312" w:hAnsi="仿宋_GB2312" w:cs="仿宋_GB2312" w:eastAsia="仿宋_GB2312"/>
              </w:rPr>
              <w:t>（5）肉制品类供货:</w:t>
            </w:r>
          </w:p>
          <w:p>
            <w:pPr>
              <w:pStyle w:val="null3"/>
            </w:pPr>
            <w:r>
              <w:rPr>
                <w:rFonts w:ascii="仿宋_GB2312" w:hAnsi="仿宋_GB2312" w:cs="仿宋_GB2312" w:eastAsia="仿宋_GB2312"/>
              </w:rPr>
              <w:t>①产品为在政府规定的屠宰场所屠杀的生鲜禽畜肉；</w:t>
            </w:r>
          </w:p>
          <w:p>
            <w:pPr>
              <w:pStyle w:val="null3"/>
            </w:pPr>
            <w:r>
              <w:rPr>
                <w:rFonts w:ascii="仿宋_GB2312" w:hAnsi="仿宋_GB2312" w:cs="仿宋_GB2312" w:eastAsia="仿宋_GB2312"/>
              </w:rPr>
              <w:t>②产品应符合国家食品安全标准；</w:t>
            </w:r>
          </w:p>
          <w:p>
            <w:pPr>
              <w:pStyle w:val="null3"/>
            </w:pPr>
            <w:r>
              <w:rPr>
                <w:rFonts w:ascii="仿宋_GB2312" w:hAnsi="仿宋_GB2312" w:cs="仿宋_GB2312" w:eastAsia="仿宋_GB2312"/>
              </w:rPr>
              <w:t>③产品非病死禽畜肉；</w:t>
            </w:r>
          </w:p>
          <w:p>
            <w:pPr>
              <w:pStyle w:val="null3"/>
            </w:pPr>
            <w:r>
              <w:rPr>
                <w:rFonts w:ascii="仿宋_GB2312" w:hAnsi="仿宋_GB2312" w:cs="仿宋_GB2312" w:eastAsia="仿宋_GB2312"/>
              </w:rPr>
              <w:t>④产品非“注水”禽畜肉、母猪肉、老猪肉；</w:t>
            </w:r>
          </w:p>
          <w:p>
            <w:pPr>
              <w:pStyle w:val="null3"/>
            </w:pPr>
            <w:r>
              <w:rPr>
                <w:rFonts w:ascii="仿宋_GB2312" w:hAnsi="仿宋_GB2312" w:cs="仿宋_GB2312" w:eastAsia="仿宋_GB2312"/>
              </w:rPr>
              <w:t>⑤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成交供应商应及时免费更换或退货。</w:t>
            </w:r>
          </w:p>
          <w:p>
            <w:pPr>
              <w:pStyle w:val="null3"/>
            </w:pPr>
            <w:r>
              <w:rPr>
                <w:rFonts w:ascii="仿宋_GB2312" w:hAnsi="仿宋_GB2312" w:cs="仿宋_GB2312" w:eastAsia="仿宋_GB2312"/>
              </w:rPr>
              <w:t>⑥新鲜的肉类，表面有光泽，颜色均匀，有弹性，不得呈现青紫色死斑。</w:t>
            </w:r>
          </w:p>
          <w:p>
            <w:pPr>
              <w:pStyle w:val="null3"/>
            </w:pPr>
            <w:r>
              <w:rPr>
                <w:rFonts w:ascii="仿宋_GB2312" w:hAnsi="仿宋_GB2312" w:cs="仿宋_GB2312" w:eastAsia="仿宋_GB2312"/>
              </w:rPr>
              <w:t>（6）水果类供货:</w:t>
            </w:r>
          </w:p>
          <w:p>
            <w:pPr>
              <w:pStyle w:val="null3"/>
            </w:pPr>
            <w:r>
              <w:rPr>
                <w:rFonts w:ascii="仿宋_GB2312" w:hAnsi="仿宋_GB2312" w:cs="仿宋_GB2312" w:eastAsia="仿宋_GB2312"/>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pPr>
              <w:pStyle w:val="null3"/>
            </w:pPr>
            <w:r>
              <w:rPr>
                <w:rFonts w:ascii="仿宋_GB2312" w:hAnsi="仿宋_GB2312" w:cs="仿宋_GB2312" w:eastAsia="仿宋_GB2312"/>
              </w:rPr>
              <w:t>（7）水产类供货:</w:t>
            </w:r>
          </w:p>
          <w:p>
            <w:pPr>
              <w:pStyle w:val="null3"/>
            </w:pPr>
            <w:r>
              <w:rPr>
                <w:rFonts w:ascii="仿宋_GB2312" w:hAnsi="仿宋_GB2312" w:cs="仿宋_GB2312" w:eastAsia="仿宋_GB2312"/>
              </w:rPr>
              <w:t>鱼类：游水生猛，对外界刺激敏感，无翻肚；无嘴烂及其它外表损伤。鱼鳞完整有光泽，不易脱落，眼隔膜有光泽、透明，眼球突出；腹部坚实不膨胀，肛门内部洁净无异常红尾。大小均匀。</w:t>
            </w:r>
          </w:p>
          <w:p>
            <w:pPr>
              <w:pStyle w:val="null3"/>
            </w:pPr>
            <w:r>
              <w:rPr>
                <w:rFonts w:ascii="仿宋_GB2312" w:hAnsi="仿宋_GB2312" w:cs="仿宋_GB2312" w:eastAsia="仿宋_GB2312"/>
              </w:rPr>
              <w:t>（8）禽蛋类供货:</w:t>
            </w:r>
          </w:p>
          <w:p>
            <w:pPr>
              <w:pStyle w:val="null3"/>
            </w:pPr>
            <w:r>
              <w:rPr>
                <w:rFonts w:ascii="仿宋_GB2312" w:hAnsi="仿宋_GB2312" w:cs="仿宋_GB2312" w:eastAsia="仿宋_GB2312"/>
              </w:rPr>
              <w:t>应有禽蛋固有的色泽，鸡蛋为白色至浅红褐色之间，蛋壳清洁无破裂，打开后蛋壳凸起、完整、有韧性，蛋白澄清透明，层次分明，同一批次大小差异不明显。</w:t>
            </w:r>
          </w:p>
          <w:p>
            <w:pPr>
              <w:pStyle w:val="null3"/>
            </w:pPr>
            <w:r>
              <w:rPr>
                <w:rFonts w:ascii="仿宋_GB2312" w:hAnsi="仿宋_GB2312" w:cs="仿宋_GB2312" w:eastAsia="仿宋_GB2312"/>
              </w:rPr>
              <w:t>（四）运输要求：</w:t>
            </w:r>
          </w:p>
          <w:p>
            <w:pPr>
              <w:pStyle w:val="null3"/>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pPr>
            <w:r>
              <w:rPr>
                <w:rFonts w:ascii="仿宋_GB2312" w:hAnsi="仿宋_GB2312" w:cs="仿宋_GB2312" w:eastAsia="仿宋_GB2312"/>
              </w:rPr>
              <w:t>（五）货物要求</w:t>
            </w:r>
          </w:p>
          <w:p>
            <w:pPr>
              <w:pStyle w:val="null3"/>
            </w:pPr>
            <w:r>
              <w:rPr>
                <w:rFonts w:ascii="仿宋_GB2312" w:hAnsi="仿宋_GB2312" w:cs="仿宋_GB2312" w:eastAsia="仿宋_GB2312"/>
              </w:rPr>
              <w:t>1、供货范围、供货期、交货地点及质量标准</w:t>
            </w:r>
          </w:p>
          <w:p>
            <w:pPr>
              <w:pStyle w:val="null3"/>
            </w:pPr>
            <w:r>
              <w:rPr>
                <w:rFonts w:ascii="仿宋_GB2312" w:hAnsi="仿宋_GB2312" w:cs="仿宋_GB2312" w:eastAsia="仿宋_GB2312"/>
              </w:rPr>
              <w:t>（1）供货期：自合同签订生效之日起1年</w:t>
            </w:r>
          </w:p>
          <w:p>
            <w:pPr>
              <w:pStyle w:val="null3"/>
            </w:pPr>
            <w:r>
              <w:rPr>
                <w:rFonts w:ascii="仿宋_GB2312" w:hAnsi="仿宋_GB2312" w:cs="仿宋_GB2312" w:eastAsia="仿宋_GB2312"/>
              </w:rPr>
              <w:t>（2）配送服务响应时间：每周送货约2次，具体以采购人通知为准</w:t>
            </w:r>
          </w:p>
          <w:p>
            <w:pPr>
              <w:pStyle w:val="null3"/>
            </w:pPr>
            <w:r>
              <w:rPr>
                <w:rFonts w:ascii="仿宋_GB2312" w:hAnsi="仿宋_GB2312" w:cs="仿宋_GB2312" w:eastAsia="仿宋_GB2312"/>
              </w:rPr>
              <w:t>（3）供货地点： 采购人指定地点</w:t>
            </w:r>
          </w:p>
          <w:p>
            <w:pPr>
              <w:pStyle w:val="null3"/>
            </w:pPr>
            <w:r>
              <w:rPr>
                <w:rFonts w:ascii="仿宋_GB2312" w:hAnsi="仿宋_GB2312" w:cs="仿宋_GB2312" w:eastAsia="仿宋_GB2312"/>
              </w:rPr>
              <w:t>（4）质量标准： 合格</w:t>
            </w:r>
          </w:p>
          <w:p>
            <w:pPr>
              <w:pStyle w:val="null3"/>
            </w:pPr>
            <w:r>
              <w:rPr>
                <w:rFonts w:ascii="仿宋_GB2312" w:hAnsi="仿宋_GB2312" w:cs="仿宋_GB2312" w:eastAsia="仿宋_GB2312"/>
              </w:rPr>
              <w:t>2、货物技术规格、参数与要求</w:t>
            </w:r>
          </w:p>
          <w:p>
            <w:pPr>
              <w:pStyle w:val="null3"/>
            </w:pPr>
            <w:r>
              <w:rPr>
                <w:rFonts w:ascii="仿宋_GB2312" w:hAnsi="仿宋_GB2312" w:cs="仿宋_GB2312" w:eastAsia="仿宋_GB2312"/>
              </w:rPr>
              <w:t>凡涉及国家或行业相关标准的以最新标准为准，所有食材均须符合《中华人民共和国食品卫生法》、《动物检疫法》、《食品安全国家标准食品添加剂使用标准》（GB2760-2014）等相关规定。</w:t>
            </w:r>
          </w:p>
          <w:p>
            <w:pPr>
              <w:pStyle w:val="null3"/>
            </w:pPr>
            <w:r>
              <w:rPr>
                <w:rFonts w:ascii="仿宋_GB2312" w:hAnsi="仿宋_GB2312" w:cs="仿宋_GB2312" w:eastAsia="仿宋_GB2312"/>
              </w:rPr>
              <w:t>3、配送要求：配送时须提供的证明材料</w:t>
            </w:r>
          </w:p>
          <w:p>
            <w:pPr>
              <w:pStyle w:val="null3"/>
            </w:pPr>
            <w:r>
              <w:rPr>
                <w:rFonts w:ascii="仿宋_GB2312" w:hAnsi="仿宋_GB2312" w:cs="仿宋_GB2312" w:eastAsia="仿宋_GB2312"/>
              </w:rPr>
              <w:t>成交供应商的资格、资质证明（首次供应时提供）：供应商为生产厂家的须提供《食品生产许可证》，供应商为经销商的须提供有效的《食品经营许可证》；供应商须提供所投产品生产企业的《动物防疫条件合格证》（仅肉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ind w:firstLine="480"/>
              <w:jc w:val="both"/>
            </w:pPr>
            <w:r>
              <w:rPr>
                <w:rFonts w:ascii="仿宋_GB2312" w:hAnsi="仿宋_GB2312" w:cs="仿宋_GB2312" w:eastAsia="仿宋_GB2312"/>
              </w:rPr>
              <w:t>1、供应商应按照采购人要求的配送清单按照规定时间将所需产品送至采购人指定地点，如采购人遇到紧急情况需要加班的，服务商应保证加班期间食材的供应，并按照采购人要求定期检查、清洗厨房设备，如有任何安全隐患须及时向采购人相关负责人报告。</w:t>
            </w:r>
          </w:p>
          <w:p>
            <w:pPr>
              <w:pStyle w:val="null3"/>
            </w:pPr>
            <w:r>
              <w:rPr>
                <w:rFonts w:ascii="仿宋_GB2312" w:hAnsi="仿宋_GB2312" w:cs="仿宋_GB2312" w:eastAsia="仿宋_GB2312"/>
              </w:rPr>
              <w:t>2、供应商应配合采购人完成扶贫网采购任务。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按月据实结算，次月5日前供应商将上月实际配送清单及对应每日市场价清单交于采购人，经采购人审核且双方无异议，按照成交折扣率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折扣率报价，磋商报价是供应商完成本项目所要求内容且验收合格的所有费用，包括但不限于人工费、食材费、仓储费、配送费、税金、采购代理服务费等其他一切相关费用。任何有选择的报价将不予接受，否则按无效磋商处理。结算金额=食材市场价×配送数量×成交折扣率。 （2）项目属性：服务。 （3）本项目所属行业为：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供应商为生产厂家的须提供《食品生产许可证》，供应商为经销商的须提供有效的《食品经营许可证》；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供应商为生产厂家的须提供《食品生产许可证》，供应商为经销商的须提供有效的《食品经营许可证》；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响应函 商务条款偏离表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响应函 商务条款偏离表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分项报价表 业绩 标的清单 陕西省政府采购供应商拒绝政府采购领域商业贿赂承诺书 其他说明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供应商针对本项目的理解，提供包含但不限于：服务流程、进货渠道、存储方案、食品配送方案、配送设备、食材验收方案等实施方案； 实施方案目标明确、安排合理、清晰、可行强得10-15分； 实施方案目标较明确、安排较合理、清晰、可行较强得5-10分； 实施方案目标不明确、安排不合理、可行差得0-5分。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供应商针对本项目提供管理机构及制度，包括但不限于各岗位管理制度、自查制度、奖惩考核机制、安全防范、卫生保障、文明服务、消杀管理等制度； 制度详细完整、科学合理可行，针对性强，完全符合项目特点及要求得6-10分； 制度基本完整，针对性较强，基本符合项目特点及要求得3-6分； 制度内容不完整、针对性一般得0-3分。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供应商针对本项目提供岗位及人员配置： 项目组成人员职责任务明确、人员数量和人员专业结构配备合理，完全满足本项目服务要求的得6-10分； 项目组成人员职责分工安排较清晰合理、人员数量和专业结构配备较合理，基本满足本项目要求的得3-6分； 项目组成人员职责分工安排差、人员数量和专业结构配备差，难以满足本项目要求的得0-3分。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供应商针对本项目提供质量保障措施，包括但不限于：食品质量、食品安全与卫生、安全执行标准、日常检查的措施、生鲜品质保障等； 措施详细完整、科学合理可行，针对性强，完全符合项目特点及要求得7-10分； 措施基本完整，针对性较强，基本符合项目特点及要求得4-7分； 措施内容不完整、针对性一般得0-4分。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供应商针对本项目提供应急方案，包括但不限于：实施过程突发的紧急状况处理方式及措施、天气、车辆故障等突发事件、配送或使用过程出现问题的应急方案； 方案详细完整、科学合理可行，针对性强，完全符合项目特点及要求得6-10分； 方案基本完整，针对性较强，基本符合项目特点及要求得3-6分； 方案内容不完整、针对性一般得0-3分。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供应商针对本项目提出具体的售后服务方案，包含但不限于：售后服务机构地址及负责人的联系方式、售后服务人员安排、售后服务保障措施、出现残次品等补货换货解决方案、质量问题的响应时间等； 服务详细完整、科学合理可行，针对性强，完全符合项目特点及要求得6-10分； 服务基本完整，针对性较强，基本符合项目特点及要求得3-6分； 服务内容不完整、针对性一般得0-3分。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2.满足磋商文件实质性要求且最终报价最低的供应商的价格为磋商基准价，其价格分为满分30分。 3.磋商报价得分=（磋商基准价/最终磋商报价）×30的公式计算得分。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供应商针对本项目的理解，提供包含但不限于：服务流程、进货渠道、存储方案、食品配送方案、配送设备、食材验收方案等实施方案； 实施方案目标明确、安排合理、清晰、可行强得10-15分； 实施方案目标较明确、安排较合理、清晰、可行较强得5-10分； 实施方案目标不明确、安排不合理、可行差得0-5分。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供应商针对本项目提供管理机构及制度，包括但不限于各岗位管理制度、自查制度、奖惩考核机制、安全防范、卫生保障、文明服务、消杀管理等制度； 制度详细完整、科学合理可行，针对性强，完全符合项目特点及要求得6-10分； 制度基本完整，针对性较强，基本符合项目特点及要求得3-6分； 制度内容不完整、针对性一般得0-3分。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供应商针对本项目提供岗位及人员配置： 项目组成人员职责任务明确、人员数量和人员专业结构配备合理，完全满足本项目服务要求的得6-10分； 项目组成人员职责分工安排较清晰合理、人员数量和专业结构配备较合理，基本满足本项目要求的得3-6分； 项目组成人员职责分工安排差、人员数量和专业结构配备差，难以满足本项目要求的得0-3分。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供应商针对本项目提供质量保障措施，包括但不限于：食品质量、食品安全与卫生、安全执行标准、日常检查的措施、生鲜品质保障等； 措施详细完整、科学合理可行，针对性强，完全符合项目特点及要求得7-10分； 措施基本完整，针对性较强，基本符合项目特点及要求得4-7分； 措施内容不完整、针对性一般得0-4分。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供应商针对本项目提供应急方案，包括但不限于：实施过程突发的紧急状况处理方式及措施、天气、车辆故障等突发事件、配送或使用过程出现问题的应急方案； 方案详细完整、科学合理可行，针对性强，完全符合项目特点及要求得6-10分； 方案基本完整，针对性较强，基本符合项目特点及要求得3-6分； 方案内容不完整、针对性一般得0-3分。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供应商针对本项目提出具体的售后服务方案，包含但不限于：售后服务机构地址及负责人的联系方式、售后服务人员安排、售后服务保障措施、出现残次品等补货换货解决方案、质量问题的响应时间等； 服务详细完整、科学合理可行，针对性强，完全符合项目特点及要求得6-10分； 服务基本完整，针对性较强，基本符合项目特点及要求得3-6分； 服务内容不完整、针对性一般得0-3分。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2.满足磋商文件实质性要求且最终报价最低的供应商的价格为磋商基准价，其价格分为满分30分。 3.磋商报价得分=（磋商基准价/最终磋商报价）×30的公式计算得分。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