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1C105">
      <w:pPr>
        <w:pStyle w:val="5"/>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第八章 拟签订采购合同文本</w:t>
      </w:r>
    </w:p>
    <w:p w14:paraId="237BD70F">
      <w:pPr>
        <w:keepNext w:val="0"/>
        <w:keepLines w:val="0"/>
        <w:pageBreakBefore w:val="0"/>
        <w:widowControl w:val="0"/>
        <w:shd w:val="clear"/>
        <w:kinsoku/>
        <w:wordWrap/>
        <w:overflowPunct/>
        <w:topLinePunct w:val="0"/>
        <w:bidi w:val="0"/>
        <w:rPr>
          <w:rFonts w:hint="eastAsia" w:ascii="宋体" w:hAnsi="宋体" w:eastAsia="宋体" w:cs="宋体"/>
          <w:b/>
          <w:bCs/>
          <w:color w:val="auto"/>
          <w:sz w:val="48"/>
          <w:szCs w:val="48"/>
          <w:highlight w:val="none"/>
          <w:lang w:eastAsia="zh-CN"/>
        </w:rPr>
      </w:pPr>
    </w:p>
    <w:p w14:paraId="6E489B01">
      <w:pPr>
        <w:keepNext w:val="0"/>
        <w:keepLines w:val="0"/>
        <w:pageBreakBefore w:val="0"/>
        <w:widowControl w:val="0"/>
        <w:shd w:val="clear"/>
        <w:kinsoku/>
        <w:wordWrap/>
        <w:overflowPunct/>
        <w:topLinePunct w:val="0"/>
        <w:bidi w:val="0"/>
        <w:spacing w:line="360" w:lineRule="auto"/>
        <w:jc w:val="center"/>
        <w:rPr>
          <w:rFonts w:hint="eastAsia" w:ascii="宋体" w:hAnsi="宋体" w:eastAsia="宋体" w:cs="宋体"/>
          <w:b/>
          <w:bCs/>
          <w:color w:val="auto"/>
          <w:sz w:val="52"/>
          <w:szCs w:val="52"/>
          <w:highlight w:val="none"/>
          <w:lang w:eastAsia="zh-CN"/>
        </w:rPr>
      </w:pPr>
    </w:p>
    <w:p w14:paraId="41AEA340">
      <w:pPr>
        <w:keepNext w:val="0"/>
        <w:keepLines w:val="0"/>
        <w:pageBreakBefore w:val="0"/>
        <w:widowControl w:val="0"/>
        <w:shd w:val="clear"/>
        <w:kinsoku/>
        <w:wordWrap/>
        <w:overflowPunct/>
        <w:topLinePunct w:val="0"/>
        <w:bidi w:val="0"/>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未央湖街道廉政灶食材采购项目</w:t>
      </w:r>
    </w:p>
    <w:p w14:paraId="168FC02D">
      <w:pPr>
        <w:keepNext w:val="0"/>
        <w:keepLines w:val="0"/>
        <w:pageBreakBefore w:val="0"/>
        <w:widowControl w:val="0"/>
        <w:shd w:val="clear"/>
        <w:kinsoku/>
        <w:wordWrap/>
        <w:overflowPunct/>
        <w:topLinePunct w:val="0"/>
        <w:bidi w:val="0"/>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（合同包</w:t>
      </w:r>
      <w:r>
        <w:rPr>
          <w:rFonts w:hint="eastAsia" w:ascii="宋体" w:hAnsi="宋体" w:eastAsia="宋体" w:cs="宋体"/>
          <w:b/>
          <w:bCs/>
          <w:color w:val="auto"/>
          <w:sz w:val="48"/>
          <w:szCs w:val="48"/>
          <w:highlight w:val="none"/>
          <w:u w:val="single"/>
          <w:lang w:eastAsia="zh-CN"/>
        </w:rPr>
        <w:t xml:space="preserve"> </w:t>
      </w:r>
      <w:bookmarkStart w:id="2" w:name="_GoBack"/>
      <w:bookmarkEnd w:id="2"/>
      <w:r>
        <w:rPr>
          <w:rFonts w:hint="eastAsia" w:ascii="宋体" w:hAnsi="宋体" w:eastAsia="宋体" w:cs="宋体"/>
          <w:b/>
          <w:bCs/>
          <w:color w:val="auto"/>
          <w:sz w:val="48"/>
          <w:szCs w:val="48"/>
          <w:highlight w:val="none"/>
          <w:u w:val="single"/>
          <w:lang w:val="en-US" w:eastAsia="zh-CN"/>
        </w:rPr>
        <w:t xml:space="preserve"> </w:t>
      </w:r>
      <w:r>
        <w:rPr>
          <w:rFonts w:hint="eastAsia" w:ascii="宋体" w:hAnsi="宋体" w:eastAsia="宋体" w:cs="宋体"/>
          <w:b/>
          <w:bCs/>
          <w:color w:val="auto"/>
          <w:sz w:val="48"/>
          <w:szCs w:val="48"/>
          <w:highlight w:val="none"/>
          <w:u w:val="single"/>
          <w:lang w:eastAsia="zh-CN"/>
        </w:rPr>
        <w:t xml:space="preserve"> </w:t>
      </w:r>
      <w:r>
        <w:rPr>
          <w:rFonts w:hint="eastAsia" w:ascii="宋体" w:hAnsi="宋体" w:eastAsia="宋体" w:cs="宋体"/>
          <w:b/>
          <w:bCs/>
          <w:color w:val="auto"/>
          <w:sz w:val="48"/>
          <w:szCs w:val="48"/>
          <w:highlight w:val="none"/>
          <w:lang w:eastAsia="zh-CN"/>
        </w:rPr>
        <w:t>）合同</w:t>
      </w:r>
    </w:p>
    <w:p w14:paraId="319C7AF0">
      <w:pPr>
        <w:keepNext w:val="0"/>
        <w:keepLines w:val="0"/>
        <w:pageBreakBefore w:val="0"/>
        <w:widowControl w:val="0"/>
        <w:shd w:val="clear"/>
        <w:kinsoku/>
        <w:wordWrap/>
        <w:overflowPunct/>
        <w:topLinePunct w:val="0"/>
        <w:bidi w:val="0"/>
        <w:jc w:val="center"/>
        <w:rPr>
          <w:rFonts w:hint="eastAsia" w:ascii="宋体" w:hAnsi="宋体" w:eastAsia="宋体" w:cs="宋体"/>
          <w:b/>
          <w:bCs/>
          <w:color w:val="auto"/>
          <w:sz w:val="44"/>
          <w:szCs w:val="44"/>
          <w:highlight w:val="none"/>
          <w:lang w:eastAsia="zh-CN"/>
        </w:rPr>
      </w:pPr>
    </w:p>
    <w:p w14:paraId="3780B712">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2122D8EF">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332D1EAB">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7DD76420">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6789DDEF">
      <w:pPr>
        <w:keepNext w:val="0"/>
        <w:keepLines w:val="0"/>
        <w:pageBreakBefore w:val="0"/>
        <w:widowControl w:val="0"/>
        <w:shd w:val="clear"/>
        <w:kinsoku/>
        <w:wordWrap/>
        <w:overflowPunct/>
        <w:topLinePunct w:val="0"/>
        <w:bidi w:val="0"/>
        <w:rPr>
          <w:rFonts w:hint="eastAsia" w:ascii="宋体" w:hAnsi="宋体" w:eastAsia="宋体" w:cs="宋体"/>
          <w:color w:val="auto"/>
          <w:highlight w:val="none"/>
          <w:lang w:eastAsia="zh-CN"/>
        </w:rPr>
      </w:pPr>
    </w:p>
    <w:p w14:paraId="7470E0DA">
      <w:pPr>
        <w:keepNext w:val="0"/>
        <w:keepLines w:val="0"/>
        <w:pageBreakBefore w:val="0"/>
        <w:widowControl w:val="0"/>
        <w:shd w:val="clear"/>
        <w:kinsoku/>
        <w:wordWrap/>
        <w:overflowPunct/>
        <w:topLinePunct w:val="0"/>
        <w:bidi w:val="0"/>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30448A50">
      <w:pPr>
        <w:keepNext w:val="0"/>
        <w:keepLines w:val="0"/>
        <w:pageBreakBefore w:val="0"/>
        <w:widowControl w:val="0"/>
        <w:shd w:val="clear"/>
        <w:kinsoku/>
        <w:wordWrap/>
        <w:overflowPunct/>
        <w:topLinePunct w:val="0"/>
        <w:bidi w:val="0"/>
        <w:adjustRightInd w:val="0"/>
        <w:snapToGrid w:val="0"/>
        <w:spacing w:line="500" w:lineRule="exact"/>
        <w:ind w:firstLine="950" w:firstLineChars="198"/>
        <w:rPr>
          <w:rFonts w:hint="eastAsia" w:ascii="宋体" w:hAnsi="宋体" w:eastAsia="宋体" w:cs="宋体"/>
          <w:color w:val="auto"/>
          <w:sz w:val="24"/>
          <w:szCs w:val="24"/>
          <w:highlight w:val="none"/>
          <w:u w:val="single"/>
          <w:lang w:eastAsia="zh-CN"/>
        </w:rPr>
      </w:pPr>
      <w:r>
        <w:rPr>
          <w:rFonts w:hint="eastAsia" w:ascii="宋体" w:hAnsi="宋体" w:eastAsia="宋体" w:cs="宋体"/>
          <w:bCs/>
          <w:color w:val="auto"/>
          <w:sz w:val="48"/>
          <w:szCs w:val="48"/>
          <w:highlight w:val="none"/>
          <w:lang w:eastAsia="zh-CN"/>
        </w:rPr>
        <w:br w:type="page"/>
      </w:r>
    </w:p>
    <w:p w14:paraId="74022DC1">
      <w:pPr>
        <w:keepNext w:val="0"/>
        <w:keepLines w:val="0"/>
        <w:pageBreakBefore w:val="0"/>
        <w:wordWrap/>
        <w:overflowPunct/>
        <w:topLinePunct w:val="0"/>
        <w:bidi w:val="0"/>
        <w:snapToGrid w:val="0"/>
        <w:spacing w:line="360" w:lineRule="auto"/>
        <w:rPr>
          <w:rFonts w:hint="eastAsia" w:ascii="宋体" w:hAnsi="宋体" w:eastAsia="宋体" w:cs="宋体"/>
          <w:kern w:val="0"/>
          <w:sz w:val="21"/>
          <w:szCs w:val="21"/>
          <w:u w:val="single"/>
        </w:rPr>
      </w:pPr>
      <w:r>
        <w:rPr>
          <w:rFonts w:hint="eastAsia" w:ascii="宋体" w:hAnsi="宋体" w:eastAsia="宋体" w:cs="宋体"/>
          <w:kern w:val="0"/>
          <w:sz w:val="21"/>
          <w:szCs w:val="21"/>
        </w:rPr>
        <w:t>甲方：西安市未央区未央湖街道办事处</w:t>
      </w:r>
    </w:p>
    <w:p w14:paraId="70F22335">
      <w:pPr>
        <w:keepNext w:val="0"/>
        <w:keepLines w:val="0"/>
        <w:pageBreakBefore w:val="0"/>
        <w:wordWrap/>
        <w:overflowPunct/>
        <w:topLinePunct w:val="0"/>
        <w:bidi w:val="0"/>
        <w:snapToGrid w:val="0"/>
        <w:spacing w:line="360" w:lineRule="auto"/>
        <w:rPr>
          <w:rFonts w:hint="default" w:ascii="宋体" w:hAnsi="宋体" w:eastAsia="宋体" w:cs="宋体"/>
          <w:kern w:val="0"/>
          <w:sz w:val="21"/>
          <w:szCs w:val="21"/>
          <w:u w:val="single"/>
          <w:lang w:val="en-US" w:eastAsia="zh-CN"/>
        </w:rPr>
      </w:pPr>
      <w:r>
        <w:rPr>
          <w:rFonts w:hint="eastAsia" w:ascii="宋体" w:hAnsi="宋体" w:eastAsia="宋体" w:cs="宋体"/>
          <w:kern w:val="0"/>
          <w:sz w:val="21"/>
          <w:szCs w:val="21"/>
        </w:rPr>
        <w:t>乙方：</w:t>
      </w:r>
      <w:r>
        <w:rPr>
          <w:rFonts w:hint="eastAsia" w:ascii="宋体" w:hAnsi="宋体" w:eastAsia="宋体" w:cs="宋体"/>
          <w:kern w:val="0"/>
          <w:sz w:val="21"/>
          <w:szCs w:val="21"/>
          <w:u w:val="single"/>
          <w:lang w:val="en-US" w:eastAsia="zh-CN"/>
        </w:rPr>
        <w:t xml:space="preserve">                             </w:t>
      </w:r>
    </w:p>
    <w:p w14:paraId="42A19C0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根据《中华人民共和国民法典》、《中华人民共和国政府采购法》、《中华人民共和国政府采购法实施条例》、等法律法规，甲方通过竞争性磋商，选定乙方为成交单位。甲、乙双方在平等基础上协商一致，达成如下合同条款:</w:t>
      </w:r>
    </w:p>
    <w:p w14:paraId="1F956F72">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rPr>
      </w:pPr>
      <w:r>
        <w:rPr>
          <w:rFonts w:hint="eastAsia" w:ascii="宋体" w:hAnsi="宋体" w:eastAsia="宋体" w:cs="宋体"/>
          <w:b/>
          <w:bCs/>
          <w:kern w:val="0"/>
          <w:sz w:val="21"/>
          <w:szCs w:val="21"/>
        </w:rPr>
        <w:t>一、服务内容及要求：</w:t>
      </w:r>
    </w:p>
    <w:p w14:paraId="001E4F5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（一）采购内容</w:t>
      </w:r>
    </w:p>
    <w:p w14:paraId="0CEC8FD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本次采购内容主要为街道两处廉政灶食材采买项目，</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需根据</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要求提供其食堂所需的主副食品，主要内容包括调味品及其他类；粮油类、豆类等；蔬菜类、大肉类、水果、水产类、禽蛋类等。</w:t>
      </w:r>
    </w:p>
    <w:p w14:paraId="5A2ED44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（二）用餐数量及标准</w:t>
      </w:r>
    </w:p>
    <w:p w14:paraId="5D9ED7A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本合同包</w:t>
      </w:r>
      <w:r>
        <w:rPr>
          <w:rFonts w:hint="eastAsia" w:ascii="宋体" w:hAnsi="宋体" w:eastAsia="宋体" w:cs="宋体"/>
          <w:kern w:val="0"/>
          <w:sz w:val="21"/>
          <w:szCs w:val="21"/>
        </w:rPr>
        <w:t>正常工作日</w:t>
      </w:r>
      <w:r>
        <w:rPr>
          <w:rFonts w:hint="eastAsia" w:ascii="宋体" w:hAnsi="宋体" w:eastAsia="宋体" w:cs="宋体"/>
          <w:kern w:val="0"/>
          <w:sz w:val="21"/>
          <w:szCs w:val="21"/>
          <w:lang w:eastAsia="zh-CN"/>
        </w:rPr>
        <w:t>，</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廉政灶就餐人数约为</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人。</w:t>
      </w:r>
    </w:p>
    <w:p w14:paraId="22D8E86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2、一般为工作日供货；节假日用餐人数及供货由</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临时通知。</w:t>
      </w:r>
    </w:p>
    <w:p w14:paraId="19AC43C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（三）包装与质量要求</w:t>
      </w:r>
    </w:p>
    <w:p w14:paraId="40D43CE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1、货物包装应完好无破漏，可视的内容物无腐败霉变或影响使用的变型，不存在危及人身、财产安全的不合理危险。</w:t>
      </w:r>
    </w:p>
    <w:p w14:paraId="1C9115F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14:paraId="49CF6A4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3、</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承担；包装不符合标准或约定，造成货物损毁灭失或其他后果的由</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承担全部责任。</w:t>
      </w:r>
    </w:p>
    <w:p w14:paraId="57CA696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4、不得提供未经检疫或者检疫不合格的肉类品(含熟制品)、蔬菜制品，对带骨头肉制品按要求切块，须当批次《肉类卫生防疫证明》和蔬菜农药残留检测报告供</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随时抽查，抽查发现</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提供的物资合格证明材料与本批次物资不符时，成交</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应及时免费更换或退货。</w:t>
      </w:r>
    </w:p>
    <w:p w14:paraId="00C40FF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5、不得提供来历不明、不能提供相应产品标签的散装物品。</w:t>
      </w:r>
    </w:p>
    <w:p w14:paraId="1DD67C5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6、当天送达食品，在检查过程中发现存在变质腐败、油脂酸败、霉变、生虫、污秽不洁、混有异物或者其他感官性状异常、含有毒有害物质或者被有毒有害物质污染，可能对人体健康有害的物品，</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必须在当天及时更换货物，如有造成的损失由</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承担。</w:t>
      </w:r>
    </w:p>
    <w:p w14:paraId="5F5E922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7、</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必须按</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指定的食品(原料、调料)品名、规格数量等要求及时进行供货。</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供货不符合要求的，</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应当及时调换，不得影响</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使用。</w:t>
      </w:r>
    </w:p>
    <w:p w14:paraId="4AA3AA6E">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8、物资产品在送达</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指定地点时保质期剩余时间应在三分之二以上。</w:t>
      </w:r>
    </w:p>
    <w:p w14:paraId="3A8918D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9、如因</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提供的物资，因质量等问题而使</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人员发生食物中毒事件的，</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将承担相应的法律责任。</w:t>
      </w:r>
    </w:p>
    <w:p w14:paraId="33EA74D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10、</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配送的食品应无毒、无害，具有完好的形、色、香、味等性状，并符合下述质量要求:</w:t>
      </w:r>
    </w:p>
    <w:p w14:paraId="6F76D85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（1）调味品及其他类供货</w:t>
      </w:r>
    </w:p>
    <w:p w14:paraId="35CC882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①产品无发霉、无变质、无变味、不掺杂、不掺假、不掺水、干货无受潮；</w:t>
      </w:r>
    </w:p>
    <w:p w14:paraId="7C3DD25E">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②产品包装应该有产品名称、厂名、厂址或出产地等，应有产品质量合格证明；</w:t>
      </w:r>
    </w:p>
    <w:p w14:paraId="0E4AAC0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③产品生产厂家应持有卫生许可证；</w:t>
      </w:r>
    </w:p>
    <w:p w14:paraId="723C560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④产品应符合国家食品卫生法规定的标准。</w:t>
      </w:r>
    </w:p>
    <w:p w14:paraId="7804011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（2）食用油供货:</w:t>
      </w:r>
    </w:p>
    <w:p w14:paraId="50521D4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食用油应外包装完好，有SC标志，标明品名、厂名、重量、 生产日期、保质期或保存期、执行标准，剩余保存期不少于保质期的三分之二，具有产品合格证。具有正常植物油的色泽、透明度、气味和滋味，无焦臭、酸败及其他异味。</w:t>
      </w:r>
    </w:p>
    <w:p w14:paraId="61B9059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（3）豆制品供货：</w:t>
      </w:r>
    </w:p>
    <w:p w14:paraId="7D1B474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豆腐、豆腐干、绿豆芽、黄豆芽、红豆等；须保证食材干净、不含非食品用化学物质、按统一标准加工、码放整齐、无须二次处理可以直接进行熟加工。</w:t>
      </w:r>
    </w:p>
    <w:p w14:paraId="527DE90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（4）蔬菜供货:</w:t>
      </w:r>
    </w:p>
    <w:p w14:paraId="6E858F4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①</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销售给</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的蔬菜应当是新鲜、青嫩、干净、无腐烂、无杂质、无杂草、无黄叶、无老叶、无浸水泡水或注水，并提供农药残留检测报告。</w:t>
      </w:r>
    </w:p>
    <w:p w14:paraId="3C3C50A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②新鲜指各类蔬菜无腐烂、变质、无臭水伤味、无糟软状态，尤其是黄、绿豆芽鲜菌类应保持应有的新鲜度；</w:t>
      </w:r>
    </w:p>
    <w:p w14:paraId="631396F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③青嫩是指绝大多数蔬菜(除冬瓜、南瓜等外)不但青而且嫩；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14:paraId="14D993D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④无黄叶、老叶主要指青菜、白菜类不能有老叶，鲜蒜、香葱等的杆部应当见白；</w:t>
      </w:r>
    </w:p>
    <w:p w14:paraId="54DC147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⑤无浸水、泡水或注水主要指白菜类(含花菜)、瓜果类、鲜菌类及根(块)茎类蔬菜不能浸水、泡水或注水；</w:t>
      </w:r>
    </w:p>
    <w:p w14:paraId="0CCBF1D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⑥净菜率须在95%以上。</w:t>
      </w:r>
    </w:p>
    <w:p w14:paraId="0DB40EE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（5）肉制品类供货:</w:t>
      </w:r>
    </w:p>
    <w:p w14:paraId="7416637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①产品为在政府规定的屠宰场所屠杀的生鲜禽畜肉；</w:t>
      </w:r>
    </w:p>
    <w:p w14:paraId="3F50E90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②产品应符合国家食品安全标准；</w:t>
      </w:r>
    </w:p>
    <w:p w14:paraId="3632A2F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③产品非病死禽畜肉；</w:t>
      </w:r>
    </w:p>
    <w:p w14:paraId="731B8D7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④产品非“注水”禽畜肉、母猪肉、老猪肉；</w:t>
      </w:r>
    </w:p>
    <w:p w14:paraId="010298AF">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⑤产品应经检验、检疫合格，有相应的检验、检疫证明，有当地卫生主管部门出具的动物检疫合格证明、有当地政府部门定点屠宰厂“瘦肉精”残留检测合格证明和肉品品质检验合格证供</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随时抽查，抽查发现</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提供的证明材料与鲜肉不符时，成交</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应及时免费更换或退货。</w:t>
      </w:r>
    </w:p>
    <w:p w14:paraId="013F20EB">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⑥新鲜的肉类，表面有光泽，颜色均匀，有弹性，不得呈现青紫色死斑。</w:t>
      </w:r>
    </w:p>
    <w:p w14:paraId="30BD8C3B">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（6）水果类供货:</w:t>
      </w:r>
    </w:p>
    <w:p w14:paraId="0188C5C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1 cm。</w:t>
      </w:r>
    </w:p>
    <w:p w14:paraId="4F5C4B5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（7）水产类供货:</w:t>
      </w:r>
    </w:p>
    <w:p w14:paraId="294AD03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鱼类：游水生猛，对外界刺激敏感，无翻肚；无嘴烂及其它外表损伤。鱼鳞完整有光泽，不易脱落，眼隔膜有光泽、透明，眼球突出；腹部坚实不膨胀，肛门内部洁净无异常红尾。大小均匀。</w:t>
      </w:r>
    </w:p>
    <w:p w14:paraId="4EAEF716">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（8）禽蛋类供货:</w:t>
      </w:r>
    </w:p>
    <w:p w14:paraId="6FAB7E4F">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应有禽蛋固有的色泽，鸡蛋为白色至浅红褐色之间，蛋壳清洁无破裂，打开后蛋壳凸起、完整、有韧性，蛋白澄清透明，层次分明，同一批次大小差异不明显。</w:t>
      </w:r>
    </w:p>
    <w:p w14:paraId="39F41FC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（四）运输要求：</w:t>
      </w:r>
    </w:p>
    <w:p w14:paraId="2F57F36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4F6F20DC">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（五）货物要求</w:t>
      </w:r>
    </w:p>
    <w:p w14:paraId="2FA8865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1、供货范围、供货期、交货地点及质量标准</w:t>
      </w:r>
    </w:p>
    <w:p w14:paraId="447D457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（1）供货期：自合同签订生效之日起1年</w:t>
      </w:r>
    </w:p>
    <w:p w14:paraId="58672D84">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（2）配送服务响应时间：每周送货约2次，具体以</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通知为准</w:t>
      </w:r>
    </w:p>
    <w:p w14:paraId="6C06BE1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 xml:space="preserve">（3）供货地点： </w:t>
      </w:r>
      <w:r>
        <w:rPr>
          <w:rFonts w:hint="eastAsia" w:ascii="宋体" w:hAnsi="宋体" w:eastAsia="宋体" w:cs="宋体"/>
          <w:kern w:val="0"/>
          <w:sz w:val="21"/>
          <w:szCs w:val="21"/>
          <w:lang w:eastAsia="zh-CN"/>
        </w:rPr>
        <w:t>甲方</w:t>
      </w:r>
      <w:r>
        <w:rPr>
          <w:rFonts w:hint="eastAsia" w:ascii="宋体" w:hAnsi="宋体" w:eastAsia="宋体" w:cs="宋体"/>
          <w:kern w:val="0"/>
          <w:sz w:val="21"/>
          <w:szCs w:val="21"/>
        </w:rPr>
        <w:t>指定地点</w:t>
      </w:r>
    </w:p>
    <w:p w14:paraId="1905B9B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（4）质量标准： 合格</w:t>
      </w:r>
    </w:p>
    <w:p w14:paraId="4432CEB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2、货物技术规格、参数与要求</w:t>
      </w:r>
    </w:p>
    <w:p w14:paraId="2274315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凡涉及国家或行业相关标准的以最新标准为准，所有食材均须符合《中华人民共和国食品卫生法》、《动物检疫法》、《食品安全国家标准食品添加剂使用标准》（GB2760-2014）等相关规定。</w:t>
      </w:r>
    </w:p>
    <w:p w14:paraId="157FD7E2">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3、配送要求：配送时须提供的证明材料</w:t>
      </w:r>
    </w:p>
    <w:p w14:paraId="460B3F0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成交</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的资格、资质证明（首次供应时提供）：</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为生产厂家的须提供《食品生产许可证》，</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为经销商的须提供有效的《食品经营许可证》；</w:t>
      </w:r>
      <w:r>
        <w:rPr>
          <w:rFonts w:hint="eastAsia" w:ascii="宋体" w:hAnsi="宋体" w:eastAsia="宋体" w:cs="宋体"/>
          <w:kern w:val="0"/>
          <w:sz w:val="21"/>
          <w:szCs w:val="21"/>
          <w:lang w:eastAsia="zh-CN"/>
        </w:rPr>
        <w:t>乙方</w:t>
      </w:r>
      <w:r>
        <w:rPr>
          <w:rFonts w:hint="eastAsia" w:ascii="宋体" w:hAnsi="宋体" w:eastAsia="宋体" w:cs="宋体"/>
          <w:kern w:val="0"/>
          <w:sz w:val="21"/>
          <w:szCs w:val="21"/>
        </w:rPr>
        <w:t>须提供所投产品生产企业的《动物防疫条件合格证》（仅肉类）。</w:t>
      </w:r>
    </w:p>
    <w:p w14:paraId="6FE65B09">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rPr>
        <w:t>二、</w:t>
      </w:r>
      <w:r>
        <w:rPr>
          <w:rFonts w:hint="eastAsia" w:ascii="宋体" w:hAnsi="宋体" w:eastAsia="宋体" w:cs="宋体"/>
          <w:b/>
          <w:bCs/>
          <w:kern w:val="0"/>
          <w:sz w:val="21"/>
          <w:szCs w:val="21"/>
          <w:lang w:val="zh-CN"/>
        </w:rPr>
        <w:t>验收标准：</w:t>
      </w:r>
    </w:p>
    <w:p w14:paraId="4AEDAFC5">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1.</w:t>
      </w:r>
      <w:r>
        <w:rPr>
          <w:rFonts w:hint="eastAsia" w:ascii="宋体" w:hAnsi="宋体" w:eastAsia="宋体" w:cs="宋体"/>
          <w:kern w:val="0"/>
          <w:sz w:val="21"/>
          <w:szCs w:val="21"/>
          <w:lang w:val="zh-CN"/>
        </w:rPr>
        <w:t>定型包装食品，应检验包装标识或者产品说明书是否标出品名、产地、厂名、生产日期、批号或者代号、规格、配方或者主要成份、保质期限、食用或者使用方法等，防止购进假冒伪劣产品，禁止“三无”产品进入食堂；</w:t>
      </w:r>
    </w:p>
    <w:p w14:paraId="5BF4F28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2.</w:t>
      </w:r>
      <w:r>
        <w:rPr>
          <w:rFonts w:hint="eastAsia" w:ascii="宋体" w:hAnsi="宋体" w:eastAsia="宋体" w:cs="宋体"/>
          <w:kern w:val="0"/>
          <w:sz w:val="21"/>
          <w:szCs w:val="21"/>
          <w:lang w:val="zh-CN"/>
        </w:rPr>
        <w:t>主要食材中的定型包装食品，如米面油类应提供批次产品卫生主管部门的检验报告；</w:t>
      </w:r>
    </w:p>
    <w:p w14:paraId="7C0B2A8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3.</w:t>
      </w:r>
      <w:r>
        <w:rPr>
          <w:rFonts w:hint="eastAsia" w:ascii="宋体" w:hAnsi="宋体" w:eastAsia="宋体" w:cs="宋体"/>
          <w:kern w:val="0"/>
          <w:sz w:val="21"/>
          <w:szCs w:val="21"/>
          <w:lang w:val="zh-CN"/>
        </w:rPr>
        <w:t>包装污秽不洁、严重破损、运输工具不洁等造成污染的产品不得验收入库；</w:t>
      </w:r>
    </w:p>
    <w:p w14:paraId="0EF4C64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4.甲方</w:t>
      </w:r>
      <w:r>
        <w:rPr>
          <w:rFonts w:hint="eastAsia" w:ascii="宋体" w:hAnsi="宋体" w:eastAsia="宋体" w:cs="宋体"/>
          <w:kern w:val="0"/>
          <w:sz w:val="21"/>
          <w:szCs w:val="21"/>
          <w:lang w:val="zh-CN"/>
        </w:rPr>
        <w:t>对所购食品原辅料的质量、数量进行核对验收，验收合格的及时入库，不合格产品应及时退回</w:t>
      </w:r>
      <w:r>
        <w:rPr>
          <w:rFonts w:hint="eastAsia" w:ascii="宋体" w:hAnsi="宋体" w:eastAsia="宋体" w:cs="宋体"/>
          <w:kern w:val="0"/>
          <w:sz w:val="21"/>
          <w:szCs w:val="21"/>
        </w:rPr>
        <w:t>乙方</w:t>
      </w:r>
      <w:r>
        <w:rPr>
          <w:rFonts w:hint="eastAsia" w:ascii="宋体" w:hAnsi="宋体" w:eastAsia="宋体" w:cs="宋体"/>
          <w:kern w:val="0"/>
          <w:sz w:val="21"/>
          <w:szCs w:val="21"/>
          <w:lang w:val="zh-CN"/>
        </w:rPr>
        <w:t>，同时做好验收记录；</w:t>
      </w:r>
    </w:p>
    <w:p w14:paraId="5FAA41C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5.验收</w:t>
      </w:r>
      <w:r>
        <w:rPr>
          <w:rFonts w:hint="eastAsia" w:ascii="宋体" w:hAnsi="宋体" w:eastAsia="宋体" w:cs="宋体"/>
          <w:kern w:val="0"/>
          <w:sz w:val="21"/>
          <w:szCs w:val="21"/>
          <w:lang w:val="zh-CN"/>
        </w:rPr>
        <w:t>时，</w:t>
      </w:r>
      <w:r>
        <w:rPr>
          <w:rFonts w:hint="eastAsia" w:ascii="宋体" w:hAnsi="宋体" w:eastAsia="宋体" w:cs="宋体"/>
          <w:kern w:val="0"/>
          <w:sz w:val="21"/>
          <w:szCs w:val="21"/>
        </w:rPr>
        <w:t>甲方</w:t>
      </w:r>
      <w:r>
        <w:rPr>
          <w:rFonts w:hint="eastAsia" w:ascii="宋体" w:hAnsi="宋体" w:eastAsia="宋体" w:cs="宋体"/>
          <w:kern w:val="0"/>
          <w:sz w:val="21"/>
          <w:szCs w:val="21"/>
          <w:lang w:val="zh-CN"/>
        </w:rPr>
        <w:t>清点入库物品的数量、规格，做到数量、规格、品种准确无误；</w:t>
      </w:r>
    </w:p>
    <w:p w14:paraId="3A2E07F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6.</w:t>
      </w:r>
      <w:r>
        <w:rPr>
          <w:rFonts w:hint="eastAsia" w:ascii="宋体" w:hAnsi="宋体" w:eastAsia="宋体" w:cs="宋体"/>
          <w:kern w:val="0"/>
          <w:sz w:val="21"/>
          <w:szCs w:val="21"/>
          <w:lang w:val="zh-CN"/>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10D68C96">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rPr>
      </w:pPr>
      <w:r>
        <w:rPr>
          <w:rFonts w:hint="eastAsia" w:ascii="宋体" w:hAnsi="宋体" w:eastAsia="宋体" w:cs="宋体"/>
          <w:b/>
          <w:bCs/>
          <w:kern w:val="0"/>
          <w:sz w:val="21"/>
          <w:szCs w:val="21"/>
        </w:rPr>
        <w:t>三、服务期</w:t>
      </w:r>
    </w:p>
    <w:p w14:paraId="1AC01BF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自合同签订生效之日起1年，即：</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日至</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日。</w:t>
      </w:r>
    </w:p>
    <w:p w14:paraId="65316257">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rPr>
      </w:pPr>
      <w:r>
        <w:rPr>
          <w:rFonts w:hint="eastAsia" w:ascii="宋体" w:hAnsi="宋体" w:eastAsia="宋体" w:cs="宋体"/>
          <w:b/>
          <w:bCs/>
          <w:kern w:val="0"/>
          <w:sz w:val="21"/>
          <w:szCs w:val="21"/>
        </w:rPr>
        <w:t>四、结款金额和付款方式</w:t>
      </w:r>
    </w:p>
    <w:p w14:paraId="5AEDFB4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（一）合同金额</w:t>
      </w:r>
    </w:p>
    <w:p w14:paraId="0875204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合同包预算金额</w:t>
      </w:r>
      <w:r>
        <w:rPr>
          <w:rFonts w:hint="eastAsia" w:ascii="宋体" w:hAnsi="宋体" w:eastAsia="宋体" w:cs="宋体"/>
          <w:kern w:val="0"/>
          <w:sz w:val="21"/>
          <w:szCs w:val="21"/>
        </w:rPr>
        <w:t>：人民币大写：</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元。</w:t>
      </w:r>
    </w:p>
    <w:p w14:paraId="6427032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u w:val="single"/>
          <w:lang w:val="en-US" w:eastAsia="zh-CN"/>
        </w:rPr>
      </w:pPr>
      <w:r>
        <w:rPr>
          <w:rFonts w:hint="eastAsia" w:ascii="宋体" w:hAnsi="宋体" w:eastAsia="宋体" w:cs="宋体"/>
          <w:kern w:val="0"/>
          <w:sz w:val="21"/>
          <w:szCs w:val="21"/>
          <w:lang w:val="en-US" w:eastAsia="zh-CN"/>
        </w:rPr>
        <w:t>成交</w:t>
      </w:r>
      <w:r>
        <w:rPr>
          <w:rFonts w:hint="eastAsia" w:cs="宋体"/>
          <w:kern w:val="0"/>
          <w:sz w:val="21"/>
          <w:szCs w:val="21"/>
          <w:lang w:val="en-US" w:eastAsia="zh-CN"/>
        </w:rPr>
        <w:t>折扣率</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u w:val="single"/>
          <w:lang w:val="en-US" w:eastAsia="zh-CN"/>
        </w:rPr>
        <w:t xml:space="preserve">       %。</w:t>
      </w:r>
    </w:p>
    <w:p w14:paraId="7BE94154">
      <w:pPr>
        <w:keepNext w:val="0"/>
        <w:keepLines w:val="0"/>
        <w:pageBreakBefore w:val="0"/>
        <w:wordWrap/>
        <w:overflowPunct/>
        <w:topLinePunct w:val="0"/>
        <w:bidi w:val="0"/>
        <w:snapToGrid w:val="0"/>
        <w:spacing w:line="360" w:lineRule="auto"/>
        <w:ind w:left="0" w:leftChars="0" w:firstLine="438" w:firstLineChars="209"/>
        <w:rPr>
          <w:rFonts w:hint="default" w:ascii="宋体" w:hAnsi="宋体" w:eastAsia="宋体" w:cs="宋体"/>
          <w:kern w:val="0"/>
          <w:sz w:val="21"/>
          <w:szCs w:val="21"/>
          <w:u w:val="single"/>
          <w:lang w:val="en-US" w:eastAsia="zh-CN"/>
        </w:rPr>
      </w:pPr>
      <w:r>
        <w:rPr>
          <w:rFonts w:hint="eastAsia" w:ascii="宋体" w:hAnsi="宋体" w:eastAsia="宋体" w:cs="宋体"/>
          <w:kern w:val="0"/>
          <w:sz w:val="21"/>
          <w:szCs w:val="21"/>
          <w:u w:val="single"/>
          <w:lang w:val="en-US" w:eastAsia="zh-CN"/>
        </w:rPr>
        <w:t>本项目为</w:t>
      </w:r>
      <w:r>
        <w:rPr>
          <w:rFonts w:hint="eastAsia" w:cs="宋体"/>
          <w:kern w:val="0"/>
          <w:sz w:val="21"/>
          <w:szCs w:val="21"/>
          <w:u w:val="single"/>
          <w:lang w:val="en-US" w:eastAsia="zh-CN"/>
        </w:rPr>
        <w:t>折扣率</w:t>
      </w:r>
      <w:r>
        <w:rPr>
          <w:rFonts w:hint="eastAsia" w:ascii="宋体" w:hAnsi="宋体" w:eastAsia="宋体" w:cs="宋体"/>
          <w:kern w:val="0"/>
          <w:sz w:val="21"/>
          <w:szCs w:val="21"/>
          <w:u w:val="single"/>
          <w:lang w:val="en-US" w:eastAsia="zh-CN"/>
        </w:rPr>
        <w:t>报价，结算金额=食材市场价×配送数量×成交</w:t>
      </w:r>
      <w:r>
        <w:rPr>
          <w:rFonts w:hint="eastAsia" w:cs="宋体"/>
          <w:kern w:val="0"/>
          <w:sz w:val="21"/>
          <w:szCs w:val="21"/>
          <w:u w:val="single"/>
          <w:lang w:val="en-US" w:eastAsia="zh-CN"/>
        </w:rPr>
        <w:t>折扣率</w:t>
      </w:r>
      <w:r>
        <w:rPr>
          <w:rFonts w:hint="eastAsia" w:ascii="宋体" w:hAnsi="宋体" w:eastAsia="宋体" w:cs="宋体"/>
          <w:kern w:val="0"/>
          <w:sz w:val="21"/>
          <w:szCs w:val="21"/>
          <w:u w:val="single"/>
          <w:lang w:val="en-US" w:eastAsia="zh-CN"/>
        </w:rPr>
        <w:t>。</w:t>
      </w:r>
    </w:p>
    <w:p w14:paraId="3B060A90">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（二）付款方式</w:t>
      </w:r>
    </w:p>
    <w:p w14:paraId="24B08B9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按月据实结算，次月5日前供应商将上月实际配送清单及对应每日市场价清单交于采购人，经采购人审核且双方无异议、采购人报财政部门审批流程通过后支付上月全部服务费用；付款前，供应商应开具与付款金额一致的正式发票给采购人，采购人收到发票后支付。否则，采购人有权拒绝付款且不承担任何违约责任，且供应商不得以此为由停止履行本合同项下的任意义务。</w:t>
      </w:r>
    </w:p>
    <w:p w14:paraId="2BA1131B">
      <w:pPr>
        <w:keepNext w:val="0"/>
        <w:keepLines w:val="0"/>
        <w:pageBreakBefore w:val="0"/>
        <w:tabs>
          <w:tab w:val="left" w:pos="312"/>
        </w:tabs>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乙方开户行信息：</w:t>
      </w:r>
    </w:p>
    <w:p w14:paraId="7DFE7737">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u w:val="single"/>
        </w:rPr>
      </w:pPr>
      <w:r>
        <w:rPr>
          <w:rFonts w:hint="eastAsia" w:ascii="宋体" w:hAnsi="宋体" w:eastAsia="宋体" w:cs="宋体"/>
          <w:kern w:val="0"/>
          <w:sz w:val="21"/>
          <w:szCs w:val="21"/>
        </w:rPr>
        <w:t>开户行名称：</w:t>
      </w:r>
    </w:p>
    <w:p w14:paraId="6D406B2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u w:val="single"/>
          <w:lang w:eastAsia="zh-CN"/>
        </w:rPr>
      </w:pPr>
      <w:r>
        <w:rPr>
          <w:rFonts w:hint="eastAsia" w:ascii="宋体" w:hAnsi="宋体" w:eastAsia="宋体" w:cs="宋体"/>
          <w:kern w:val="0"/>
          <w:sz w:val="21"/>
          <w:szCs w:val="21"/>
        </w:rPr>
        <w:t>账      号</w:t>
      </w:r>
      <w:r>
        <w:rPr>
          <w:rFonts w:hint="eastAsia" w:cs="宋体"/>
          <w:kern w:val="0"/>
          <w:sz w:val="21"/>
          <w:szCs w:val="21"/>
          <w:lang w:eastAsia="zh-CN"/>
        </w:rPr>
        <w:t>：</w:t>
      </w:r>
    </w:p>
    <w:p w14:paraId="3BEECDD4">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rPr>
        <w:t>五、</w:t>
      </w:r>
      <w:r>
        <w:rPr>
          <w:rFonts w:hint="eastAsia" w:ascii="宋体" w:hAnsi="宋体" w:eastAsia="宋体" w:cs="宋体"/>
          <w:b/>
          <w:bCs/>
          <w:kern w:val="0"/>
          <w:sz w:val="21"/>
          <w:szCs w:val="21"/>
          <w:lang w:val="zh-CN"/>
        </w:rPr>
        <w:t>违约责任</w:t>
      </w:r>
    </w:p>
    <w:p w14:paraId="7BFD577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rPr>
        <w:t>1.</w:t>
      </w:r>
      <w:r>
        <w:rPr>
          <w:rFonts w:hint="eastAsia" w:ascii="宋体" w:hAnsi="宋体" w:eastAsia="宋体" w:cs="宋体"/>
          <w:kern w:val="0"/>
          <w:sz w:val="21"/>
          <w:szCs w:val="21"/>
          <w:lang w:val="zh-CN"/>
        </w:rPr>
        <w:t>甲乙双方如因为其他原因要解除合约，应提前一个月通知对方，如有一方违反将补偿对方一个月</w:t>
      </w:r>
      <w:bookmarkStart w:id="0" w:name="OLE_LINK2"/>
      <w:bookmarkStart w:id="1" w:name="OLE_LINK1"/>
      <w:r>
        <w:rPr>
          <w:rFonts w:hint="eastAsia" w:ascii="宋体" w:hAnsi="宋体" w:eastAsia="宋体" w:cs="宋体"/>
          <w:kern w:val="0"/>
          <w:sz w:val="21"/>
          <w:szCs w:val="21"/>
          <w:lang w:val="zh-CN"/>
        </w:rPr>
        <w:t>货款</w:t>
      </w:r>
      <w:bookmarkEnd w:id="0"/>
      <w:bookmarkEnd w:id="1"/>
      <w:r>
        <w:rPr>
          <w:rFonts w:hint="eastAsia" w:ascii="宋体" w:hAnsi="宋体" w:eastAsia="宋体" w:cs="宋体"/>
          <w:kern w:val="0"/>
          <w:sz w:val="21"/>
          <w:szCs w:val="21"/>
          <w:lang w:val="zh-CN"/>
        </w:rPr>
        <w:t>，同时按照相关法律法规承担相应处罚。</w:t>
      </w:r>
    </w:p>
    <w:p w14:paraId="574A85DA">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2</w:t>
      </w:r>
      <w:r>
        <w:rPr>
          <w:rFonts w:hint="eastAsia" w:ascii="宋体" w:hAnsi="宋体" w:eastAsia="宋体" w:cs="宋体"/>
          <w:kern w:val="0"/>
          <w:sz w:val="21"/>
          <w:szCs w:val="21"/>
        </w:rPr>
        <w:t>.</w:t>
      </w:r>
      <w:r>
        <w:rPr>
          <w:rFonts w:hint="eastAsia" w:ascii="宋体" w:hAnsi="宋体" w:eastAsia="宋体" w:cs="宋体"/>
          <w:kern w:val="0"/>
          <w:sz w:val="21"/>
          <w:szCs w:val="21"/>
          <w:lang w:val="zh-CN"/>
        </w:rPr>
        <w:t>乙方不认真履行合同条款或因其它理由突然终止合同，视为乙方单方违约，甲方即废除同乙方合同，乙方须赔偿甲方当月货款。</w:t>
      </w:r>
    </w:p>
    <w:p w14:paraId="737AAE8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3</w:t>
      </w:r>
      <w:r>
        <w:rPr>
          <w:rFonts w:hint="eastAsia" w:ascii="宋体" w:hAnsi="宋体" w:eastAsia="宋体" w:cs="宋体"/>
          <w:kern w:val="0"/>
          <w:sz w:val="21"/>
          <w:szCs w:val="21"/>
        </w:rPr>
        <w:t>.</w:t>
      </w:r>
      <w:r>
        <w:rPr>
          <w:rFonts w:hint="eastAsia" w:ascii="宋体" w:hAnsi="宋体" w:eastAsia="宋体" w:cs="宋体"/>
          <w:kern w:val="0"/>
          <w:sz w:val="21"/>
          <w:szCs w:val="21"/>
          <w:lang w:val="zh-CN"/>
        </w:rPr>
        <w:t>乙方公司违反合同所约定之义务，影响合同约定区域的安全或导致甲方其他方面损害，经甲方书面警告仍无整改，甲方有权单方面终止合同，而无须承担任何责任。</w:t>
      </w:r>
    </w:p>
    <w:p w14:paraId="7F6C2227">
      <w:pPr>
        <w:keepNext w:val="0"/>
        <w:keepLines w:val="0"/>
        <w:pageBreakBefore w:val="0"/>
        <w:wordWrap/>
        <w:overflowPunct/>
        <w:topLinePunct w:val="0"/>
        <w:bidi w:val="0"/>
        <w:snapToGrid w:val="0"/>
        <w:spacing w:line="360" w:lineRule="auto"/>
        <w:ind w:left="0" w:leftChars="0" w:firstLine="438" w:firstLineChars="209"/>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4.甲方可随时对当日食品价格进行询价、食品质量进行抽查，对于缺斤少两、以次充好等不诚信行为，立即约谈乙方，如发现3次以上类似情况，甲方可要求减扣当月食材采购款项。</w:t>
      </w:r>
    </w:p>
    <w:p w14:paraId="68D976C3">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lang w:val="zh-CN"/>
        </w:rPr>
        <w:t>六、合同争议的解决</w:t>
      </w:r>
    </w:p>
    <w:p w14:paraId="78D9194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合同一经签订，不得随意变更、中止或终止。对确需变更、调整或者中止、终止合同的，应按规定履行相应的手续。</w:t>
      </w:r>
    </w:p>
    <w:p w14:paraId="5F57DA38">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合同执行中发生争议的，甲、乙双方应协商解决，协商达不成一致时，可向甲方所在地人民法院提请诉讼。</w:t>
      </w:r>
    </w:p>
    <w:p w14:paraId="3E3B7DD8">
      <w:pPr>
        <w:keepNext w:val="0"/>
        <w:keepLines w:val="0"/>
        <w:pageBreakBefore w:val="0"/>
        <w:wordWrap/>
        <w:overflowPunct/>
        <w:topLinePunct w:val="0"/>
        <w:bidi w:val="0"/>
        <w:snapToGrid w:val="0"/>
        <w:spacing w:line="360" w:lineRule="auto"/>
        <w:ind w:left="0" w:leftChars="0" w:firstLine="441" w:firstLineChars="209"/>
        <w:rPr>
          <w:rFonts w:hint="eastAsia" w:ascii="宋体" w:hAnsi="宋体" w:eastAsia="宋体" w:cs="宋体"/>
          <w:b/>
          <w:bCs/>
          <w:kern w:val="0"/>
          <w:sz w:val="21"/>
          <w:szCs w:val="21"/>
          <w:lang w:val="zh-CN"/>
        </w:rPr>
      </w:pPr>
      <w:r>
        <w:rPr>
          <w:rFonts w:hint="eastAsia" w:ascii="宋体" w:hAnsi="宋体" w:eastAsia="宋体" w:cs="宋体"/>
          <w:b/>
          <w:bCs/>
          <w:kern w:val="0"/>
          <w:sz w:val="21"/>
          <w:szCs w:val="21"/>
          <w:lang w:val="zh-CN"/>
        </w:rPr>
        <w:t>七、其它事项</w:t>
      </w:r>
    </w:p>
    <w:p w14:paraId="761ECDB1">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1</w:t>
      </w:r>
      <w:r>
        <w:rPr>
          <w:rFonts w:hint="eastAsia" w:ascii="宋体" w:hAnsi="宋体" w:eastAsia="宋体" w:cs="宋体"/>
          <w:kern w:val="0"/>
          <w:sz w:val="21"/>
          <w:szCs w:val="21"/>
        </w:rPr>
        <w:t>.</w:t>
      </w:r>
      <w:r>
        <w:rPr>
          <w:rFonts w:hint="eastAsia" w:ascii="宋体" w:hAnsi="宋体" w:eastAsia="宋体" w:cs="宋体"/>
          <w:kern w:val="0"/>
          <w:sz w:val="21"/>
          <w:szCs w:val="21"/>
          <w:lang w:val="zh-CN"/>
        </w:rPr>
        <w:t>甲、乙双方作为合同执行的主体，有义务及时完全履行合同。</w:t>
      </w:r>
    </w:p>
    <w:p w14:paraId="019492CD">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2.合同未尽事宜，由甲、乙双方协商签订补充协议，作为本合同不可分割的组成部分，与本合同具有同等法律效力。</w:t>
      </w:r>
    </w:p>
    <w:p w14:paraId="67579C43">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3</w:t>
      </w:r>
      <w:r>
        <w:rPr>
          <w:rFonts w:hint="eastAsia" w:ascii="宋体" w:hAnsi="宋体" w:eastAsia="宋体" w:cs="宋体"/>
          <w:kern w:val="0"/>
          <w:sz w:val="21"/>
          <w:szCs w:val="21"/>
        </w:rPr>
        <w:t>.</w:t>
      </w:r>
      <w:r>
        <w:rPr>
          <w:rFonts w:hint="eastAsia" w:ascii="宋体" w:hAnsi="宋体" w:eastAsia="宋体" w:cs="宋体"/>
          <w:kern w:val="0"/>
          <w:sz w:val="21"/>
          <w:szCs w:val="21"/>
          <w:lang w:val="zh-CN"/>
        </w:rPr>
        <w:t>磋商文件和乙方的磋商响应文件以及合同附件均为合同不可分割的部分。</w:t>
      </w:r>
    </w:p>
    <w:p w14:paraId="3C7BB9B9">
      <w:pPr>
        <w:keepNext w:val="0"/>
        <w:keepLines w:val="0"/>
        <w:pageBreakBefore w:val="0"/>
        <w:wordWrap/>
        <w:overflowPunct/>
        <w:topLinePunct w:val="0"/>
        <w:bidi w:val="0"/>
        <w:snapToGrid w:val="0"/>
        <w:spacing w:line="360" w:lineRule="auto"/>
        <w:ind w:left="0" w:leftChars="0" w:firstLine="438" w:firstLineChars="209"/>
        <w:rPr>
          <w:rFonts w:hint="eastAsia" w:ascii="宋体" w:hAnsi="宋体" w:eastAsia="宋体" w:cs="宋体"/>
          <w:kern w:val="0"/>
          <w:sz w:val="21"/>
          <w:szCs w:val="21"/>
        </w:rPr>
      </w:pPr>
      <w:r>
        <w:rPr>
          <w:rFonts w:hint="eastAsia" w:ascii="宋体" w:hAnsi="宋体" w:eastAsia="宋体" w:cs="宋体"/>
          <w:kern w:val="0"/>
          <w:sz w:val="21"/>
          <w:szCs w:val="21"/>
        </w:rPr>
        <w:t>4.合同一式份，甲方持</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份、乙方执</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份。双方签字盖章后生效，合同执行完毕自动失效。</w:t>
      </w:r>
    </w:p>
    <w:p w14:paraId="5087A5A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kern w:val="0"/>
          <w:sz w:val="21"/>
          <w:szCs w:val="21"/>
        </w:rPr>
      </w:pPr>
    </w:p>
    <w:tbl>
      <w:tblPr>
        <w:tblStyle w:val="3"/>
        <w:tblW w:w="0" w:type="auto"/>
        <w:jc w:val="center"/>
        <w:tblLayout w:type="fixed"/>
        <w:tblCellMar>
          <w:top w:w="0" w:type="dxa"/>
          <w:left w:w="108" w:type="dxa"/>
          <w:bottom w:w="0" w:type="dxa"/>
          <w:right w:w="108" w:type="dxa"/>
        </w:tblCellMar>
      </w:tblPr>
      <w:tblGrid>
        <w:gridCol w:w="4201"/>
        <w:gridCol w:w="4202"/>
      </w:tblGrid>
      <w:tr w14:paraId="0CC861B9">
        <w:tblPrEx>
          <w:tblCellMar>
            <w:top w:w="0" w:type="dxa"/>
            <w:left w:w="108" w:type="dxa"/>
            <w:bottom w:w="0" w:type="dxa"/>
            <w:right w:w="108" w:type="dxa"/>
          </w:tblCellMar>
        </w:tblPrEx>
        <w:trPr>
          <w:trHeight w:val="567" w:hRule="exact"/>
          <w:jc w:val="center"/>
        </w:trPr>
        <w:tc>
          <w:tcPr>
            <w:tcW w:w="4201" w:type="dxa"/>
            <w:vAlign w:val="center"/>
          </w:tcPr>
          <w:p w14:paraId="41B0AFF1">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  方</w:t>
            </w:r>
          </w:p>
        </w:tc>
        <w:tc>
          <w:tcPr>
            <w:tcW w:w="4202" w:type="dxa"/>
            <w:vAlign w:val="center"/>
          </w:tcPr>
          <w:p w14:paraId="10C02E2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  方</w:t>
            </w:r>
          </w:p>
        </w:tc>
      </w:tr>
      <w:tr w14:paraId="7FD7CF4B">
        <w:tblPrEx>
          <w:tblCellMar>
            <w:top w:w="0" w:type="dxa"/>
            <w:left w:w="108" w:type="dxa"/>
            <w:bottom w:w="0" w:type="dxa"/>
            <w:right w:w="108" w:type="dxa"/>
          </w:tblCellMar>
        </w:tblPrEx>
        <w:trPr>
          <w:trHeight w:val="567" w:hRule="exact"/>
          <w:jc w:val="center"/>
        </w:trPr>
        <w:tc>
          <w:tcPr>
            <w:tcW w:w="4201" w:type="dxa"/>
            <w:vAlign w:val="center"/>
          </w:tcPr>
          <w:p w14:paraId="216933B2">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（盖章）</w:t>
            </w:r>
          </w:p>
        </w:tc>
        <w:tc>
          <w:tcPr>
            <w:tcW w:w="4202" w:type="dxa"/>
            <w:vAlign w:val="center"/>
          </w:tcPr>
          <w:p w14:paraId="678239C3">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（盖章）</w:t>
            </w:r>
          </w:p>
        </w:tc>
      </w:tr>
      <w:tr w14:paraId="16C16837">
        <w:tblPrEx>
          <w:tblCellMar>
            <w:top w:w="0" w:type="dxa"/>
            <w:left w:w="108" w:type="dxa"/>
            <w:bottom w:w="0" w:type="dxa"/>
            <w:right w:w="108" w:type="dxa"/>
          </w:tblCellMar>
        </w:tblPrEx>
        <w:trPr>
          <w:trHeight w:val="567" w:hRule="exact"/>
          <w:jc w:val="center"/>
        </w:trPr>
        <w:tc>
          <w:tcPr>
            <w:tcW w:w="4201" w:type="dxa"/>
            <w:vAlign w:val="center"/>
          </w:tcPr>
          <w:p w14:paraId="366F69E8">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地址： </w:t>
            </w:r>
          </w:p>
        </w:tc>
        <w:tc>
          <w:tcPr>
            <w:tcW w:w="4202" w:type="dxa"/>
            <w:vAlign w:val="center"/>
          </w:tcPr>
          <w:p w14:paraId="19BECA84">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tc>
      </w:tr>
      <w:tr w14:paraId="5A02A4C2">
        <w:tblPrEx>
          <w:tblCellMar>
            <w:top w:w="0" w:type="dxa"/>
            <w:left w:w="108" w:type="dxa"/>
            <w:bottom w:w="0" w:type="dxa"/>
            <w:right w:w="108" w:type="dxa"/>
          </w:tblCellMar>
        </w:tblPrEx>
        <w:trPr>
          <w:trHeight w:val="567" w:hRule="exact"/>
          <w:jc w:val="center"/>
        </w:trPr>
        <w:tc>
          <w:tcPr>
            <w:tcW w:w="4201" w:type="dxa"/>
            <w:vAlign w:val="center"/>
          </w:tcPr>
          <w:p w14:paraId="312D717C">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邮编：</w:t>
            </w:r>
          </w:p>
        </w:tc>
        <w:tc>
          <w:tcPr>
            <w:tcW w:w="4202" w:type="dxa"/>
            <w:vAlign w:val="center"/>
          </w:tcPr>
          <w:p w14:paraId="6670480F">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邮编：</w:t>
            </w:r>
          </w:p>
        </w:tc>
      </w:tr>
      <w:tr w14:paraId="23E45714">
        <w:tblPrEx>
          <w:tblCellMar>
            <w:top w:w="0" w:type="dxa"/>
            <w:left w:w="108" w:type="dxa"/>
            <w:bottom w:w="0" w:type="dxa"/>
            <w:right w:w="108" w:type="dxa"/>
          </w:tblCellMar>
        </w:tblPrEx>
        <w:trPr>
          <w:trHeight w:val="567" w:hRule="exact"/>
          <w:jc w:val="center"/>
        </w:trPr>
        <w:tc>
          <w:tcPr>
            <w:tcW w:w="4201" w:type="dxa"/>
            <w:vAlign w:val="center"/>
          </w:tcPr>
          <w:p w14:paraId="7586CCB2">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法定代表人： </w:t>
            </w:r>
          </w:p>
        </w:tc>
        <w:tc>
          <w:tcPr>
            <w:tcW w:w="4202" w:type="dxa"/>
            <w:vAlign w:val="center"/>
          </w:tcPr>
          <w:p w14:paraId="0906DFC1">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p>
        </w:tc>
      </w:tr>
      <w:tr w14:paraId="3A5ABF38">
        <w:tblPrEx>
          <w:tblCellMar>
            <w:top w:w="0" w:type="dxa"/>
            <w:left w:w="108" w:type="dxa"/>
            <w:bottom w:w="0" w:type="dxa"/>
            <w:right w:w="108" w:type="dxa"/>
          </w:tblCellMar>
        </w:tblPrEx>
        <w:trPr>
          <w:trHeight w:val="567" w:hRule="exact"/>
          <w:jc w:val="center"/>
        </w:trPr>
        <w:tc>
          <w:tcPr>
            <w:tcW w:w="4201" w:type="dxa"/>
            <w:vAlign w:val="center"/>
          </w:tcPr>
          <w:p w14:paraId="21F341D3">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被授权代表：</w:t>
            </w:r>
          </w:p>
        </w:tc>
        <w:tc>
          <w:tcPr>
            <w:tcW w:w="4202" w:type="dxa"/>
            <w:vAlign w:val="center"/>
          </w:tcPr>
          <w:p w14:paraId="18D7B75A">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被授权代表：</w:t>
            </w:r>
          </w:p>
        </w:tc>
      </w:tr>
      <w:tr w14:paraId="5EBA135A">
        <w:tblPrEx>
          <w:tblCellMar>
            <w:top w:w="0" w:type="dxa"/>
            <w:left w:w="108" w:type="dxa"/>
            <w:bottom w:w="0" w:type="dxa"/>
            <w:right w:w="108" w:type="dxa"/>
          </w:tblCellMar>
        </w:tblPrEx>
        <w:trPr>
          <w:trHeight w:val="567" w:hRule="exact"/>
          <w:jc w:val="center"/>
        </w:trPr>
        <w:tc>
          <w:tcPr>
            <w:tcW w:w="4201" w:type="dxa"/>
            <w:vAlign w:val="center"/>
          </w:tcPr>
          <w:p w14:paraId="74D0C93F">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tc>
        <w:tc>
          <w:tcPr>
            <w:tcW w:w="4202" w:type="dxa"/>
            <w:vAlign w:val="center"/>
          </w:tcPr>
          <w:p w14:paraId="01D8383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tc>
      </w:tr>
      <w:tr w14:paraId="19A6275A">
        <w:tblPrEx>
          <w:tblCellMar>
            <w:top w:w="0" w:type="dxa"/>
            <w:left w:w="108" w:type="dxa"/>
            <w:bottom w:w="0" w:type="dxa"/>
            <w:right w:w="108" w:type="dxa"/>
          </w:tblCellMar>
        </w:tblPrEx>
        <w:trPr>
          <w:trHeight w:val="567" w:hRule="exact"/>
          <w:jc w:val="center"/>
        </w:trPr>
        <w:tc>
          <w:tcPr>
            <w:tcW w:w="4201" w:type="dxa"/>
            <w:vAlign w:val="center"/>
          </w:tcPr>
          <w:p w14:paraId="4749641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传真：</w:t>
            </w:r>
          </w:p>
        </w:tc>
        <w:tc>
          <w:tcPr>
            <w:tcW w:w="4202" w:type="dxa"/>
            <w:vAlign w:val="center"/>
          </w:tcPr>
          <w:p w14:paraId="66F91D7B">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传真：</w:t>
            </w:r>
          </w:p>
        </w:tc>
      </w:tr>
      <w:tr w14:paraId="1D4D96E5">
        <w:tblPrEx>
          <w:tblCellMar>
            <w:top w:w="0" w:type="dxa"/>
            <w:left w:w="108" w:type="dxa"/>
            <w:bottom w:w="0" w:type="dxa"/>
            <w:right w:w="108" w:type="dxa"/>
          </w:tblCellMar>
        </w:tblPrEx>
        <w:trPr>
          <w:trHeight w:val="567" w:hRule="exact"/>
          <w:jc w:val="center"/>
        </w:trPr>
        <w:tc>
          <w:tcPr>
            <w:tcW w:w="4201" w:type="dxa"/>
            <w:vAlign w:val="center"/>
          </w:tcPr>
          <w:p w14:paraId="2435C38D">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tc>
        <w:tc>
          <w:tcPr>
            <w:tcW w:w="4202" w:type="dxa"/>
            <w:vAlign w:val="center"/>
          </w:tcPr>
          <w:p w14:paraId="611429C7">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tc>
      </w:tr>
      <w:tr w14:paraId="0AC1E6BE">
        <w:tblPrEx>
          <w:tblCellMar>
            <w:top w:w="0" w:type="dxa"/>
            <w:left w:w="108" w:type="dxa"/>
            <w:bottom w:w="0" w:type="dxa"/>
            <w:right w:w="108" w:type="dxa"/>
          </w:tblCellMar>
        </w:tblPrEx>
        <w:trPr>
          <w:trHeight w:val="567" w:hRule="exact"/>
          <w:jc w:val="center"/>
        </w:trPr>
        <w:tc>
          <w:tcPr>
            <w:tcW w:w="4201" w:type="dxa"/>
            <w:vAlign w:val="center"/>
          </w:tcPr>
          <w:p w14:paraId="340DC98B">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日期：</w:t>
            </w:r>
          </w:p>
        </w:tc>
        <w:tc>
          <w:tcPr>
            <w:tcW w:w="4202" w:type="dxa"/>
            <w:vAlign w:val="center"/>
          </w:tcPr>
          <w:p w14:paraId="20F3296E">
            <w:pPr>
              <w:keepNext w:val="0"/>
              <w:keepLines w:val="0"/>
              <w:pageBreakBefore w:val="0"/>
              <w:wordWrap/>
              <w:overflowPunct/>
              <w:topLinePunct w:val="0"/>
              <w:bidi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日期：</w:t>
            </w:r>
          </w:p>
        </w:tc>
      </w:tr>
    </w:tbl>
    <w:p w14:paraId="2BEF7B1F">
      <w:pPr>
        <w:keepNext w:val="0"/>
        <w:keepLines w:val="0"/>
        <w:pageBreakBefore w:val="0"/>
        <w:wordWrap/>
        <w:overflowPunct/>
        <w:topLinePunct w:val="0"/>
        <w:bidi w:val="0"/>
        <w:snapToGrid w:val="0"/>
        <w:spacing w:line="360" w:lineRule="auto"/>
        <w:rPr>
          <w:rFonts w:hint="eastAsia" w:ascii="宋体" w:hAnsi="宋体" w:eastAsia="宋体" w:cs="宋体"/>
          <w:sz w:val="21"/>
          <w:szCs w:val="21"/>
        </w:rPr>
      </w:pPr>
    </w:p>
    <w:p w14:paraId="259EC654">
      <w:pPr>
        <w:pStyle w:val="5"/>
        <w:keepNext w:val="0"/>
        <w:keepLines w:val="0"/>
        <w:pageBreakBefore w:val="0"/>
        <w:widowControl w:val="0"/>
        <w:shd w:val="clear"/>
        <w:kinsoku/>
        <w:wordWrap/>
        <w:overflowPunct/>
        <w:topLinePunct w:val="0"/>
        <w:bidi w:val="0"/>
        <w:snapToGrid w:val="0"/>
        <w:spacing w:line="360" w:lineRule="auto"/>
        <w:rPr>
          <w:rFonts w:hint="eastAsia" w:ascii="宋体" w:hAnsi="宋体" w:eastAsia="宋体" w:cs="宋体"/>
          <w:color w:val="auto"/>
          <w:highlight w:val="none"/>
          <w:lang w:val="en-US" w:eastAsia="zh-Hans"/>
        </w:rPr>
      </w:pPr>
    </w:p>
    <w:p w14:paraId="04794405"/>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B64E">
    <w:pPr>
      <w:pStyle w:val="2"/>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7A1FA0"/>
    <w:rsid w:val="297A1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2025-06-20T01:03:00Z</dcterms:created>
  <dc:creator>hh</dc:creator>
  <cp:lastModifiedBy>hh</cp:lastModifiedBy>
  <dcterms:modified xsi:type="dcterms:W3CDTF">2025-06-20T01:03:17Z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15E960DAB50C4BDC827BBC2E191B64DA_11</vt:lpwstr>
  </property>
  <property fmtid="{D5CDD505-2E9C-101B-9397-08002B2CF9AE}" pid="4" name="KSOTemplateDocerSaveRecord">
    <vt:lpwstr>eyJoZGlkIjoiMzVhMzIxMWMyYjg2ZWE0NWYzYWQ4MjJiODQyZjc1YmMiLCJ1c2VySWQiOiI1NTQxNTg5NzAifQ==</vt:lpwstr>
  </property>
</Properties>
</file>