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1969A">
      <w:pPr>
        <w:spacing w:before="312"/>
        <w:ind w:firstLine="723"/>
        <w:jc w:val="center"/>
        <w:rPr>
          <w:color w:val="000000" w:themeColor="text1"/>
          <w:highlight w:val="none"/>
          <w14:textFill>
            <w14:solidFill>
              <w14:schemeClr w14:val="tx1"/>
            </w14:solidFill>
          </w14:textFill>
        </w:rPr>
      </w:pPr>
      <w:bookmarkStart w:id="1" w:name="_GoBack"/>
      <w:r>
        <w:rPr>
          <w:rFonts w:hint="eastAsia" w:asciiTheme="minorHAnsi" w:hAnsiTheme="minorHAnsi" w:eastAsiaTheme="minorEastAsia" w:cstheme="minorBidi"/>
          <w:b/>
          <w:color w:val="000000" w:themeColor="text1"/>
          <w:sz w:val="36"/>
          <w:szCs w:val="36"/>
          <w:highlight w:val="none"/>
          <w14:textFill>
            <w14:solidFill>
              <w14:schemeClr w14:val="tx1"/>
            </w14:solidFill>
          </w14:textFill>
        </w:rPr>
        <w:t>拟签订采购合同文本</w:t>
      </w:r>
    </w:p>
    <w:p w14:paraId="14BFA003">
      <w:pPr>
        <w:pStyle w:val="4"/>
        <w:keepNext w:val="0"/>
        <w:keepLines w:val="0"/>
        <w:pageBreakBefore w:val="0"/>
        <w:wordWrap/>
        <w:overflowPunct/>
        <w:topLinePunct w:val="0"/>
        <w:bidi w:val="0"/>
        <w:spacing w:before="0" w:beforeAutospacing="0" w:after="0" w:afterAutospacing="0"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合同编号： </w:t>
      </w:r>
    </w:p>
    <w:p w14:paraId="703FE1E3">
      <w:pPr>
        <w:pStyle w:val="4"/>
        <w:keepNext w:val="0"/>
        <w:keepLines w:val="0"/>
        <w:pageBreakBefore w:val="0"/>
        <w:wordWrap/>
        <w:overflowPunct/>
        <w:topLinePunct w:val="0"/>
        <w:bidi w:val="0"/>
        <w:spacing w:before="0" w:beforeAutospacing="0" w:after="0" w:afterAutospacing="0"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 xml:space="preserve">签订地点： </w:t>
      </w:r>
    </w:p>
    <w:p w14:paraId="21C1983B">
      <w:pPr>
        <w:pStyle w:val="4"/>
        <w:keepNext w:val="0"/>
        <w:keepLines w:val="0"/>
        <w:pageBreakBefore w:val="0"/>
        <w:wordWrap/>
        <w:overflowPunct/>
        <w:topLinePunct w:val="0"/>
        <w:bidi w:val="0"/>
        <w:spacing w:before="0" w:beforeAutospacing="0" w:after="0" w:afterAutospacing="0"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签订时间：</w:t>
      </w:r>
    </w:p>
    <w:p w14:paraId="5DFFA9DD">
      <w:pPr>
        <w:pStyle w:val="4"/>
        <w:keepNext w:val="0"/>
        <w:keepLines w:val="0"/>
        <w:pageBreakBefore w:val="0"/>
        <w:shd w:val="clear" w:color="auto" w:fill="FFFFFF"/>
        <w:wordWrap/>
        <w:overflowPunct/>
        <w:topLinePunct w:val="0"/>
        <w:bidi w:val="0"/>
        <w:spacing w:before="0" w:beforeAutospacing="0" w:after="0" w:afterAutospacing="0" w:line="360" w:lineRule="auto"/>
        <w:ind w:firstLine="420" w:firstLineChars="200"/>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本合同是否为中小企业预留份额合同：</w:t>
      </w:r>
    </w:p>
    <w:p w14:paraId="32FF9724">
      <w:pPr>
        <w:pStyle w:val="4"/>
        <w:keepNext w:val="0"/>
        <w:keepLines w:val="0"/>
        <w:pageBreakBefore w:val="0"/>
        <w:wordWrap/>
        <w:overflowPunct/>
        <w:topLinePunct w:val="0"/>
        <w:bidi w:val="0"/>
        <w:spacing w:before="0" w:beforeAutospacing="0" w:after="0" w:afterAutospacing="0" w:line="360" w:lineRule="auto"/>
        <w:ind w:firstLine="420" w:firstLineChars="200"/>
        <w:rPr>
          <w:rFonts w:cs="宋体"/>
          <w:color w:val="000000" w:themeColor="text1"/>
          <w:sz w:val="21"/>
          <w:szCs w:val="21"/>
          <w:highlight w:val="none"/>
          <w14:textFill>
            <w14:solidFill>
              <w14:schemeClr w14:val="tx1"/>
            </w14:solidFill>
          </w14:textFill>
        </w:rPr>
      </w:pPr>
      <w:r>
        <w:rPr>
          <w:rFonts w:hint="eastAsia" w:cs="宋体"/>
          <w:color w:val="000000" w:themeColor="text1"/>
          <w:sz w:val="21"/>
          <w:szCs w:val="21"/>
          <w:highlight w:val="none"/>
          <w14:textFill>
            <w14:solidFill>
              <w14:schemeClr w14:val="tx1"/>
            </w14:solidFill>
          </w14:textFill>
        </w:rPr>
        <w:t>甲方（甲方）：</w:t>
      </w:r>
    </w:p>
    <w:p w14:paraId="3BDA4AA1">
      <w:pPr>
        <w:pStyle w:val="4"/>
        <w:keepNext w:val="0"/>
        <w:keepLines w:val="0"/>
        <w:pageBreakBefore w:val="0"/>
        <w:wordWrap/>
        <w:overflowPunct/>
        <w:topLinePunct w:val="0"/>
        <w:bidi w:val="0"/>
        <w:spacing w:before="0" w:beforeAutospacing="0" w:after="0" w:afterAutospacing="0" w:line="360" w:lineRule="auto"/>
        <w:ind w:firstLine="360" w:firstLineChars="200"/>
        <w:rPr>
          <w:rFonts w:cs="宋体"/>
          <w:color w:val="000000" w:themeColor="text1"/>
          <w:szCs w:val="21"/>
          <w:highlight w:val="none"/>
          <w14:textFill>
            <w14:solidFill>
              <w14:schemeClr w14:val="tx1"/>
            </w14:solidFill>
          </w14:textFill>
        </w:rPr>
      </w:pPr>
      <w:r>
        <w:rPr>
          <w:rFonts w:hint="eastAsia" w:cs="宋体"/>
          <w:color w:val="000000" w:themeColor="text1"/>
          <w:szCs w:val="21"/>
          <w:highlight w:val="none"/>
          <w14:textFill>
            <w14:solidFill>
              <w14:schemeClr w14:val="tx1"/>
            </w14:solidFill>
          </w14:textFill>
        </w:rPr>
        <w:t>供应商（乙方）：</w:t>
      </w:r>
    </w:p>
    <w:p w14:paraId="54909745">
      <w:pPr>
        <w:pStyle w:val="2"/>
        <w:keepNext w:val="0"/>
        <w:keepLines w:val="0"/>
        <w:pageBreakBefore w:val="0"/>
        <w:wordWrap/>
        <w:overflowPunct/>
        <w:topLinePunct w:val="0"/>
        <w:bidi w:val="0"/>
        <w:spacing w:before="0" w:beforeLines="0" w:beforeAutospacing="0" w:afterAutospacing="0"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根据《中华人民共和国政府采购法》及实施条例、《中华人民共和国民法典》和甲方</w:t>
      </w:r>
      <w:r>
        <w:rPr>
          <w:rFonts w:hint="eastAsia" w:ascii="宋体" w:hAnsi="宋体"/>
          <w:color w:val="000000" w:themeColor="text1"/>
          <w:szCs w:val="21"/>
          <w:highlight w:val="none"/>
          <w:u w:val="single"/>
          <w14:textFill>
            <w14:solidFill>
              <w14:schemeClr w14:val="tx1"/>
            </w14:solidFill>
          </w14:textFill>
        </w:rPr>
        <w:t xml:space="preserve"> （项目名称）（项目编号</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文件、响应文件等有关规定，为确保甲方采购项目的顺利实施，甲、乙双方在平等自愿原则下签订本合同，并共同遵守如下条款：</w:t>
      </w:r>
      <w:bookmarkStart w:id="0" w:name="_Toc14987"/>
    </w:p>
    <w:bookmarkEnd w:id="0"/>
    <w:p w14:paraId="62666799">
      <w:pPr>
        <w:keepNext w:val="0"/>
        <w:keepLines w:val="0"/>
        <w:pageBreakBefore w:val="0"/>
        <w:wordWrap/>
        <w:overflowPunct/>
        <w:topLinePunct w:val="0"/>
        <w:bidi w:val="0"/>
        <w:spacing w:beforeAutospacing="0" w:afterAutospacing="0" w:line="360" w:lineRule="auto"/>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第一条 服务内容</w:t>
      </w:r>
    </w:p>
    <w:p w14:paraId="44BCF826">
      <w:pPr>
        <w:keepNext w:val="0"/>
        <w:keepLines w:val="0"/>
        <w:pageBreakBefore w:val="0"/>
        <w:wordWrap/>
        <w:overflowPunct/>
        <w:topLinePunct w:val="0"/>
        <w:bidi w:val="0"/>
        <w:spacing w:beforeAutospacing="0" w:afterAutospacing="0" w:line="360" w:lineRule="auto"/>
        <w:ind w:right="-199" w:rightChars="-95"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根据区域划分责任范围，落实服务目标，团结片区城市更新发展项目范围内的土地进行梳理查证及核对、政策咨询、权属摸底、勘察、数据处理、成本收益估算、方案编制等咨询服务；配合并促进采购人完成片区更新发展项目工作目标，各项服务标准符合国家、省、市（行业）强制性标准及</w:t>
      </w:r>
      <w:r>
        <w:rPr>
          <w:rFonts w:hint="eastAsia" w:ascii="宋体" w:hAnsi="宋体" w:cs="宋体"/>
          <w:color w:val="000000" w:themeColor="text1"/>
          <w:szCs w:val="21"/>
          <w:highlight w:val="none"/>
          <w:lang w:val="en-US" w:eastAsia="zh-CN"/>
          <w14:textFill>
            <w14:solidFill>
              <w14:schemeClr w14:val="tx1"/>
            </w14:solidFill>
          </w14:textFill>
        </w:rPr>
        <w:t>甲方</w:t>
      </w:r>
      <w:r>
        <w:rPr>
          <w:rFonts w:hint="eastAsia" w:ascii="宋体" w:hAnsi="宋体" w:cs="宋体"/>
          <w:color w:val="000000" w:themeColor="text1"/>
          <w:szCs w:val="21"/>
          <w:highlight w:val="none"/>
          <w14:textFill>
            <w14:solidFill>
              <w14:schemeClr w14:val="tx1"/>
            </w14:solidFill>
          </w14:textFill>
        </w:rPr>
        <w:t>要求。</w:t>
      </w:r>
    </w:p>
    <w:p w14:paraId="0069F996">
      <w:pPr>
        <w:keepNext w:val="0"/>
        <w:keepLines w:val="0"/>
        <w:pageBreakBefore w:val="0"/>
        <w:wordWrap/>
        <w:overflowPunct/>
        <w:topLinePunct w:val="0"/>
        <w:bidi w:val="0"/>
        <w:spacing w:beforeAutospacing="0" w:afterAutospacing="0" w:line="360" w:lineRule="auto"/>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第二条 服务期限</w:t>
      </w:r>
    </w:p>
    <w:p w14:paraId="1846CD3A">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自</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日起至</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日止</w:t>
      </w:r>
    </w:p>
    <w:p w14:paraId="1A41E34C">
      <w:pPr>
        <w:keepNext w:val="0"/>
        <w:keepLines w:val="0"/>
        <w:pageBreakBefore w:val="0"/>
        <w:wordWrap/>
        <w:overflowPunct/>
        <w:topLinePunct w:val="0"/>
        <w:bidi w:val="0"/>
        <w:spacing w:beforeAutospacing="0" w:afterAutospacing="0" w:line="360" w:lineRule="auto"/>
        <w:rPr>
          <w:rFonts w:ascii="宋体" w:hAnsi="宋体" w:cs="宋体"/>
          <w:color w:val="000000" w:themeColor="text1"/>
          <w:spacing w:val="6"/>
          <w:kern w:val="60"/>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第三条  合同价款及支付方式</w:t>
      </w:r>
    </w:p>
    <w:p w14:paraId="11E0063E">
      <w:pPr>
        <w:keepNext w:val="0"/>
        <w:keepLines w:val="0"/>
        <w:pageBreakBefore w:val="0"/>
        <w:wordWrap/>
        <w:overflowPunct/>
        <w:topLinePunct w:val="0"/>
        <w:bidi w:val="0"/>
        <w:spacing w:beforeAutospacing="0" w:afterAutospacing="0" w:line="360" w:lineRule="auto"/>
        <w:ind w:firstLine="420" w:firstLineChars="200"/>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1、合同总价款为人民币(大写)</w:t>
      </w:r>
      <w:r>
        <w:rPr>
          <w:rFonts w:hint="eastAsia" w:ascii="宋体" w:hAnsi="宋体" w:cs="宋体"/>
          <w:color w:val="000000" w:themeColor="text1"/>
          <w:szCs w:val="21"/>
          <w:highlight w:val="none"/>
          <w:u w:val="single"/>
          <w:shd w:val="clear" w:color="auto" w:fill="FFFFFF"/>
          <w14:textFill>
            <w14:solidFill>
              <w14:schemeClr w14:val="tx1"/>
            </w14:solidFill>
          </w14:textFill>
        </w:rPr>
        <w:t xml:space="preserve">        </w:t>
      </w:r>
      <w:r>
        <w:rPr>
          <w:rFonts w:hint="eastAsia" w:ascii="宋体" w:hAnsi="宋体" w:cs="宋体"/>
          <w:color w:val="000000" w:themeColor="text1"/>
          <w:szCs w:val="21"/>
          <w:highlight w:val="none"/>
          <w:shd w:val="clear" w:color="auto" w:fill="FFFFFF"/>
          <w14:textFill>
            <w14:solidFill>
              <w14:schemeClr w14:val="tx1"/>
            </w14:solidFill>
          </w14:textFill>
        </w:rPr>
        <w:t xml:space="preserve"> (¥</w:t>
      </w:r>
      <w:r>
        <w:rPr>
          <w:rFonts w:hint="eastAsia" w:ascii="宋体" w:hAnsi="宋体" w:cs="宋体"/>
          <w:color w:val="000000" w:themeColor="text1"/>
          <w:szCs w:val="21"/>
          <w:highlight w:val="none"/>
          <w:u w:val="single"/>
          <w:shd w:val="clear" w:color="auto" w:fill="FFFFFF"/>
          <w14:textFill>
            <w14:solidFill>
              <w14:schemeClr w14:val="tx1"/>
            </w14:solidFill>
          </w14:textFill>
        </w:rPr>
        <w:t xml:space="preserve">      </w:t>
      </w:r>
      <w:r>
        <w:rPr>
          <w:rFonts w:hint="eastAsia" w:ascii="宋体" w:hAnsi="宋体" w:cs="宋体"/>
          <w:color w:val="000000" w:themeColor="text1"/>
          <w:szCs w:val="21"/>
          <w:highlight w:val="none"/>
          <w:shd w:val="clear" w:color="auto" w:fill="FFFFFF"/>
          <w14:textFill>
            <w14:solidFill>
              <w14:schemeClr w14:val="tx1"/>
            </w14:solidFill>
          </w14:textFill>
        </w:rPr>
        <w:t xml:space="preserve"> )。</w:t>
      </w:r>
    </w:p>
    <w:p w14:paraId="723401E0">
      <w:pPr>
        <w:keepNext w:val="0"/>
        <w:keepLines w:val="0"/>
        <w:pageBreakBefore w:val="0"/>
        <w:wordWrap/>
        <w:overflowPunct/>
        <w:topLinePunct w:val="0"/>
        <w:bidi w:val="0"/>
        <w:spacing w:beforeAutospacing="0" w:afterAutospacing="0" w:line="360" w:lineRule="auto"/>
        <w:ind w:left="3812" w:firstLine="406"/>
        <w:rPr>
          <w:rFonts w:ascii="宋体" w:hAnsi="宋体" w:cs="宋体"/>
          <w:b/>
          <w:bCs/>
          <w:color w:val="000000" w:themeColor="text1"/>
          <w:spacing w:val="-4"/>
          <w:szCs w:val="21"/>
          <w:highlight w:val="none"/>
          <w14:textFill>
            <w14:solidFill>
              <w14:schemeClr w14:val="tx1"/>
            </w14:solidFill>
          </w14:textFill>
        </w:rPr>
      </w:pPr>
      <w:r>
        <w:rPr>
          <w:rFonts w:hint="eastAsia" w:ascii="宋体" w:hAnsi="宋体" w:cs="宋体"/>
          <w:b/>
          <w:bCs/>
          <w:color w:val="000000" w:themeColor="text1"/>
          <w:spacing w:val="-4"/>
          <w:szCs w:val="21"/>
          <w:highlight w:val="none"/>
          <w14:textFill>
            <w14:solidFill>
              <w14:schemeClr w14:val="tx1"/>
            </w14:solidFill>
          </w14:textFill>
        </w:rPr>
        <w:t>服务清单一览表</w:t>
      </w:r>
    </w:p>
    <w:tbl>
      <w:tblPr>
        <w:tblStyle w:val="7"/>
        <w:tblW w:w="96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2578"/>
        <w:gridCol w:w="1985"/>
        <w:gridCol w:w="1276"/>
        <w:gridCol w:w="1417"/>
        <w:gridCol w:w="1559"/>
      </w:tblGrid>
      <w:tr w14:paraId="795D9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821" w:type="dxa"/>
            <w:vAlign w:val="center"/>
          </w:tcPr>
          <w:p w14:paraId="66D8F76B">
            <w:pPr>
              <w:pStyle w:val="2"/>
              <w:keepNext w:val="0"/>
              <w:keepLines w:val="0"/>
              <w:pageBreakBefore w:val="0"/>
              <w:wordWrap/>
              <w:overflowPunct/>
              <w:topLinePunct w:val="0"/>
              <w:bidi w:val="0"/>
              <w:spacing w:before="0" w:beforeLines="0" w:beforeAutospacing="0" w:afterAutospacing="0" w:line="360" w:lineRule="auto"/>
              <w:ind w:firstLine="0"/>
              <w:jc w:val="center"/>
              <w:rPr>
                <w:rFonts w:ascii="宋体" w:hAnsi="宋体" w:cs="宋体"/>
                <w:b/>
                <w:color w:val="000000" w:themeColor="text1"/>
                <w:kern w:val="0"/>
                <w:szCs w:val="21"/>
                <w:highlight w:val="none"/>
                <w14:textFill>
                  <w14:solidFill>
                    <w14:schemeClr w14:val="tx1"/>
                  </w14:solidFill>
                </w14:textFill>
              </w:rPr>
            </w:pPr>
            <w:r>
              <w:rPr>
                <w:rFonts w:hint="eastAsia" w:ascii="宋体" w:hAnsi="宋体" w:cs="宋体"/>
                <w:b/>
                <w:color w:val="000000" w:themeColor="text1"/>
                <w:kern w:val="0"/>
                <w:szCs w:val="21"/>
                <w:highlight w:val="none"/>
                <w14:textFill>
                  <w14:solidFill>
                    <w14:schemeClr w14:val="tx1"/>
                  </w14:solidFill>
                </w14:textFill>
              </w:rPr>
              <w:t>序号</w:t>
            </w:r>
          </w:p>
        </w:tc>
        <w:tc>
          <w:tcPr>
            <w:tcW w:w="2578" w:type="dxa"/>
            <w:vAlign w:val="center"/>
          </w:tcPr>
          <w:p w14:paraId="675BE442">
            <w:pPr>
              <w:pStyle w:val="2"/>
              <w:keepNext w:val="0"/>
              <w:keepLines w:val="0"/>
              <w:pageBreakBefore w:val="0"/>
              <w:wordWrap/>
              <w:overflowPunct/>
              <w:topLinePunct w:val="0"/>
              <w:bidi w:val="0"/>
              <w:spacing w:before="0" w:beforeLines="0" w:beforeAutospacing="0" w:afterAutospacing="0" w:line="360" w:lineRule="auto"/>
              <w:ind w:firstLine="0"/>
              <w:jc w:val="center"/>
              <w:rPr>
                <w:rFonts w:ascii="宋体" w:hAnsi="宋体" w:cs="宋体"/>
                <w:b/>
                <w:color w:val="000000" w:themeColor="text1"/>
                <w:kern w:val="0"/>
                <w:szCs w:val="21"/>
                <w:highlight w:val="none"/>
                <w14:textFill>
                  <w14:solidFill>
                    <w14:schemeClr w14:val="tx1"/>
                  </w14:solidFill>
                </w14:textFill>
              </w:rPr>
            </w:pPr>
            <w:r>
              <w:rPr>
                <w:rFonts w:hint="eastAsia" w:ascii="宋体" w:hAnsi="宋体" w:cs="宋体"/>
                <w:b/>
                <w:color w:val="000000" w:themeColor="text1"/>
                <w:kern w:val="0"/>
                <w:szCs w:val="21"/>
                <w:highlight w:val="none"/>
                <w14:textFill>
                  <w14:solidFill>
                    <w14:schemeClr w14:val="tx1"/>
                  </w14:solidFill>
                </w14:textFill>
              </w:rPr>
              <w:t>服务名称</w:t>
            </w:r>
          </w:p>
        </w:tc>
        <w:tc>
          <w:tcPr>
            <w:tcW w:w="1985" w:type="dxa"/>
            <w:vAlign w:val="center"/>
          </w:tcPr>
          <w:p w14:paraId="6E6B422F">
            <w:pPr>
              <w:pStyle w:val="2"/>
              <w:keepNext w:val="0"/>
              <w:keepLines w:val="0"/>
              <w:pageBreakBefore w:val="0"/>
              <w:wordWrap/>
              <w:overflowPunct/>
              <w:topLinePunct w:val="0"/>
              <w:bidi w:val="0"/>
              <w:spacing w:before="0" w:beforeLines="0" w:beforeAutospacing="0" w:afterAutospacing="0" w:line="360" w:lineRule="auto"/>
              <w:ind w:firstLine="0"/>
              <w:jc w:val="center"/>
              <w:rPr>
                <w:rFonts w:ascii="宋体" w:hAnsi="宋体" w:cs="宋体"/>
                <w:b/>
                <w:color w:val="000000" w:themeColor="text1"/>
                <w:kern w:val="0"/>
                <w:szCs w:val="21"/>
                <w:highlight w:val="none"/>
                <w14:textFill>
                  <w14:solidFill>
                    <w14:schemeClr w14:val="tx1"/>
                  </w14:solidFill>
                </w14:textFill>
              </w:rPr>
            </w:pPr>
            <w:r>
              <w:rPr>
                <w:rFonts w:hint="eastAsia" w:ascii="宋体" w:hAnsi="宋体" w:cs="宋体"/>
                <w:b/>
                <w:color w:val="000000" w:themeColor="text1"/>
                <w:kern w:val="0"/>
                <w:szCs w:val="21"/>
                <w:highlight w:val="none"/>
                <w14:textFill>
                  <w14:solidFill>
                    <w14:schemeClr w14:val="tx1"/>
                  </w14:solidFill>
                </w14:textFill>
              </w:rPr>
              <w:t>服务内容</w:t>
            </w:r>
          </w:p>
        </w:tc>
        <w:tc>
          <w:tcPr>
            <w:tcW w:w="1276" w:type="dxa"/>
            <w:vAlign w:val="center"/>
          </w:tcPr>
          <w:p w14:paraId="152A5512">
            <w:pPr>
              <w:pStyle w:val="2"/>
              <w:keepNext w:val="0"/>
              <w:keepLines w:val="0"/>
              <w:pageBreakBefore w:val="0"/>
              <w:wordWrap/>
              <w:overflowPunct/>
              <w:topLinePunct w:val="0"/>
              <w:bidi w:val="0"/>
              <w:spacing w:before="0" w:beforeLines="0" w:beforeAutospacing="0" w:afterAutospacing="0" w:line="360" w:lineRule="auto"/>
              <w:ind w:firstLine="0"/>
              <w:jc w:val="center"/>
              <w:rPr>
                <w:rFonts w:ascii="宋体" w:hAnsi="宋体" w:cs="宋体"/>
                <w:b/>
                <w:color w:val="000000" w:themeColor="text1"/>
                <w:kern w:val="0"/>
                <w:szCs w:val="21"/>
                <w:highlight w:val="none"/>
                <w14:textFill>
                  <w14:solidFill>
                    <w14:schemeClr w14:val="tx1"/>
                  </w14:solidFill>
                </w14:textFill>
              </w:rPr>
            </w:pPr>
            <w:r>
              <w:rPr>
                <w:rFonts w:hint="eastAsia" w:ascii="宋体" w:hAnsi="宋体" w:cs="宋体"/>
                <w:b/>
                <w:color w:val="000000" w:themeColor="text1"/>
                <w:kern w:val="0"/>
                <w:szCs w:val="21"/>
                <w:highlight w:val="none"/>
                <w14:textFill>
                  <w14:solidFill>
                    <w14:schemeClr w14:val="tx1"/>
                  </w14:solidFill>
                </w14:textFill>
              </w:rPr>
              <w:t>计量单位</w:t>
            </w:r>
          </w:p>
        </w:tc>
        <w:tc>
          <w:tcPr>
            <w:tcW w:w="1417" w:type="dxa"/>
            <w:vAlign w:val="center"/>
          </w:tcPr>
          <w:p w14:paraId="0EFC40E7">
            <w:pPr>
              <w:pStyle w:val="2"/>
              <w:keepNext w:val="0"/>
              <w:keepLines w:val="0"/>
              <w:pageBreakBefore w:val="0"/>
              <w:wordWrap/>
              <w:overflowPunct/>
              <w:topLinePunct w:val="0"/>
              <w:bidi w:val="0"/>
              <w:spacing w:before="0" w:beforeLines="0" w:beforeAutospacing="0" w:afterAutospacing="0" w:line="360" w:lineRule="auto"/>
              <w:ind w:firstLine="0"/>
              <w:jc w:val="center"/>
              <w:rPr>
                <w:rFonts w:ascii="宋体" w:hAnsi="宋体" w:cs="宋体"/>
                <w:b/>
                <w:color w:val="000000" w:themeColor="text1"/>
                <w:kern w:val="0"/>
                <w:szCs w:val="21"/>
                <w:highlight w:val="none"/>
                <w14:textFill>
                  <w14:solidFill>
                    <w14:schemeClr w14:val="tx1"/>
                  </w14:solidFill>
                </w14:textFill>
              </w:rPr>
            </w:pPr>
            <w:r>
              <w:rPr>
                <w:rFonts w:hint="eastAsia" w:ascii="宋体" w:hAnsi="宋体" w:cs="宋体"/>
                <w:b/>
                <w:color w:val="000000" w:themeColor="text1"/>
                <w:kern w:val="0"/>
                <w:szCs w:val="21"/>
                <w:highlight w:val="none"/>
                <w14:textFill>
                  <w14:solidFill>
                    <w14:schemeClr w14:val="tx1"/>
                  </w14:solidFill>
                </w14:textFill>
              </w:rPr>
              <w:t>数量</w:t>
            </w:r>
          </w:p>
        </w:tc>
        <w:tc>
          <w:tcPr>
            <w:tcW w:w="1559" w:type="dxa"/>
            <w:vAlign w:val="center"/>
          </w:tcPr>
          <w:p w14:paraId="77D0E8B6">
            <w:pPr>
              <w:pStyle w:val="2"/>
              <w:keepNext w:val="0"/>
              <w:keepLines w:val="0"/>
              <w:pageBreakBefore w:val="0"/>
              <w:wordWrap/>
              <w:overflowPunct/>
              <w:topLinePunct w:val="0"/>
              <w:bidi w:val="0"/>
              <w:spacing w:before="0" w:beforeLines="0" w:beforeAutospacing="0" w:afterAutospacing="0" w:line="360" w:lineRule="auto"/>
              <w:ind w:firstLine="0"/>
              <w:jc w:val="center"/>
              <w:rPr>
                <w:rFonts w:ascii="宋体" w:hAnsi="宋体" w:cs="宋体"/>
                <w:b/>
                <w:color w:val="000000" w:themeColor="text1"/>
                <w:kern w:val="0"/>
                <w:szCs w:val="21"/>
                <w:highlight w:val="none"/>
                <w14:textFill>
                  <w14:solidFill>
                    <w14:schemeClr w14:val="tx1"/>
                  </w14:solidFill>
                </w14:textFill>
              </w:rPr>
            </w:pPr>
            <w:r>
              <w:rPr>
                <w:rFonts w:hint="eastAsia" w:ascii="宋体" w:hAnsi="宋体" w:cs="宋体"/>
                <w:b/>
                <w:color w:val="000000" w:themeColor="text1"/>
                <w:kern w:val="0"/>
                <w:szCs w:val="21"/>
                <w:highlight w:val="none"/>
                <w14:textFill>
                  <w14:solidFill>
                    <w14:schemeClr w14:val="tx1"/>
                  </w14:solidFill>
                </w14:textFill>
              </w:rPr>
              <w:t>服务费用</w:t>
            </w:r>
          </w:p>
        </w:tc>
      </w:tr>
      <w:tr w14:paraId="3DDA4A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49B61527">
            <w:pPr>
              <w:pStyle w:val="8"/>
              <w:keepNext w:val="0"/>
              <w:keepLines w:val="0"/>
              <w:pageBreakBefore w:val="0"/>
              <w:wordWrap/>
              <w:overflowPunct/>
              <w:topLinePunct w:val="0"/>
              <w:bidi w:val="0"/>
              <w:spacing w:beforeAutospacing="0" w:afterAutospacing="0" w:line="360" w:lineRule="auto"/>
              <w:ind w:firstLine="210"/>
              <w:rPr>
                <w:rFonts w:ascii="宋体" w:hAnsi="宋体" w:cs="宋体"/>
                <w:snapToGrid/>
                <w:color w:val="000000" w:themeColor="text1"/>
                <w:sz w:val="21"/>
                <w:highlight w:val="none"/>
                <w14:textFill>
                  <w14:solidFill>
                    <w14:schemeClr w14:val="tx1"/>
                  </w14:solidFill>
                </w14:textFill>
              </w:rPr>
            </w:pPr>
          </w:p>
        </w:tc>
        <w:tc>
          <w:tcPr>
            <w:tcW w:w="2578" w:type="dxa"/>
            <w:vAlign w:val="center"/>
          </w:tcPr>
          <w:p w14:paraId="3F4B23BE">
            <w:pPr>
              <w:pStyle w:val="8"/>
              <w:keepNext w:val="0"/>
              <w:keepLines w:val="0"/>
              <w:pageBreakBefore w:val="0"/>
              <w:wordWrap/>
              <w:overflowPunct/>
              <w:topLinePunct w:val="0"/>
              <w:bidi w:val="0"/>
              <w:spacing w:beforeAutospacing="0" w:afterAutospacing="0" w:line="360" w:lineRule="auto"/>
              <w:ind w:firstLine="210"/>
              <w:rPr>
                <w:rFonts w:ascii="宋体" w:hAnsi="宋体" w:cs="宋体"/>
                <w:snapToGrid/>
                <w:color w:val="000000" w:themeColor="text1"/>
                <w:sz w:val="21"/>
                <w:highlight w:val="none"/>
                <w14:textFill>
                  <w14:solidFill>
                    <w14:schemeClr w14:val="tx1"/>
                  </w14:solidFill>
                </w14:textFill>
              </w:rPr>
            </w:pPr>
          </w:p>
        </w:tc>
        <w:tc>
          <w:tcPr>
            <w:tcW w:w="1985" w:type="dxa"/>
            <w:vAlign w:val="center"/>
          </w:tcPr>
          <w:p w14:paraId="3EF14177">
            <w:pPr>
              <w:pStyle w:val="8"/>
              <w:keepNext w:val="0"/>
              <w:keepLines w:val="0"/>
              <w:pageBreakBefore w:val="0"/>
              <w:wordWrap/>
              <w:overflowPunct/>
              <w:topLinePunct w:val="0"/>
              <w:bidi w:val="0"/>
              <w:spacing w:beforeAutospacing="0" w:afterAutospacing="0" w:line="360" w:lineRule="auto"/>
              <w:ind w:firstLine="210"/>
              <w:rPr>
                <w:rFonts w:ascii="宋体" w:hAnsi="宋体" w:cs="宋体"/>
                <w:snapToGrid/>
                <w:color w:val="000000" w:themeColor="text1"/>
                <w:sz w:val="21"/>
                <w:highlight w:val="none"/>
                <w14:textFill>
                  <w14:solidFill>
                    <w14:schemeClr w14:val="tx1"/>
                  </w14:solidFill>
                </w14:textFill>
              </w:rPr>
            </w:pPr>
          </w:p>
        </w:tc>
        <w:tc>
          <w:tcPr>
            <w:tcW w:w="1276" w:type="dxa"/>
            <w:vAlign w:val="center"/>
          </w:tcPr>
          <w:p w14:paraId="35F808F3">
            <w:pPr>
              <w:keepNext w:val="0"/>
              <w:keepLines w:val="0"/>
              <w:pageBreakBefore w:val="0"/>
              <w:wordWrap/>
              <w:overflowPunct/>
              <w:topLinePunct w:val="0"/>
              <w:bidi w:val="0"/>
              <w:spacing w:beforeAutospacing="0" w:afterAutospacing="0" w:line="360" w:lineRule="auto"/>
              <w:ind w:left="5250" w:right="-199" w:firstLine="420"/>
              <w:jc w:val="center"/>
              <w:rPr>
                <w:rFonts w:ascii="宋体" w:hAnsi="宋体" w:cs="宋体"/>
                <w:bCs/>
                <w:snapToGrid w:val="0"/>
                <w:color w:val="000000" w:themeColor="text1"/>
                <w:kern w:val="0"/>
                <w:szCs w:val="21"/>
                <w:highlight w:val="none"/>
                <w14:textFill>
                  <w14:solidFill>
                    <w14:schemeClr w14:val="tx1"/>
                  </w14:solidFill>
                </w14:textFill>
              </w:rPr>
            </w:pPr>
            <w:r>
              <w:rPr>
                <w:rFonts w:hint="eastAsia" w:ascii="宋体" w:hAnsi="宋体" w:cs="宋体"/>
                <w:bCs/>
                <w:snapToGrid w:val="0"/>
                <w:color w:val="000000" w:themeColor="text1"/>
                <w:kern w:val="0"/>
                <w:szCs w:val="21"/>
                <w:highlight w:val="none"/>
                <w14:textFill>
                  <w14:solidFill>
                    <w14:schemeClr w14:val="tx1"/>
                  </w14:solidFill>
                </w14:textFill>
              </w:rPr>
              <w:t>个</w:t>
            </w:r>
          </w:p>
        </w:tc>
        <w:tc>
          <w:tcPr>
            <w:tcW w:w="1417" w:type="dxa"/>
            <w:vAlign w:val="center"/>
          </w:tcPr>
          <w:p w14:paraId="50EAE1F9">
            <w:pPr>
              <w:keepNext w:val="0"/>
              <w:keepLines w:val="0"/>
              <w:pageBreakBefore w:val="0"/>
              <w:wordWrap/>
              <w:overflowPunct/>
              <w:topLinePunct w:val="0"/>
              <w:bidi w:val="0"/>
              <w:spacing w:beforeAutospacing="0" w:afterAutospacing="0" w:line="360" w:lineRule="auto"/>
              <w:ind w:left="5250" w:right="-199" w:firstLine="420"/>
              <w:jc w:val="center"/>
              <w:rPr>
                <w:rFonts w:ascii="宋体" w:hAnsi="宋体" w:cs="宋体"/>
                <w:bCs/>
                <w:snapToGrid w:val="0"/>
                <w:color w:val="000000" w:themeColor="text1"/>
                <w:kern w:val="0"/>
                <w:szCs w:val="21"/>
                <w:highlight w:val="none"/>
                <w14:textFill>
                  <w14:solidFill>
                    <w14:schemeClr w14:val="tx1"/>
                  </w14:solidFill>
                </w14:textFill>
              </w:rPr>
            </w:pPr>
          </w:p>
        </w:tc>
        <w:tc>
          <w:tcPr>
            <w:tcW w:w="1559" w:type="dxa"/>
            <w:vAlign w:val="center"/>
          </w:tcPr>
          <w:p w14:paraId="3F8A8231">
            <w:pPr>
              <w:keepNext w:val="0"/>
              <w:keepLines w:val="0"/>
              <w:pageBreakBefore w:val="0"/>
              <w:wordWrap/>
              <w:overflowPunct/>
              <w:topLinePunct w:val="0"/>
              <w:bidi w:val="0"/>
              <w:spacing w:beforeAutospacing="0" w:afterAutospacing="0" w:line="360" w:lineRule="auto"/>
              <w:ind w:left="5250" w:right="-199" w:firstLine="420"/>
              <w:jc w:val="center"/>
              <w:rPr>
                <w:rFonts w:ascii="宋体" w:hAnsi="宋体" w:cs="宋体"/>
                <w:bCs/>
                <w:snapToGrid w:val="0"/>
                <w:color w:val="000000" w:themeColor="text1"/>
                <w:kern w:val="0"/>
                <w:szCs w:val="21"/>
                <w:highlight w:val="none"/>
                <w14:textFill>
                  <w14:solidFill>
                    <w14:schemeClr w14:val="tx1"/>
                  </w14:solidFill>
                </w14:textFill>
              </w:rPr>
            </w:pPr>
          </w:p>
        </w:tc>
      </w:tr>
      <w:tr w14:paraId="3AA49E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27424EDF">
            <w:pPr>
              <w:pStyle w:val="8"/>
              <w:keepNext w:val="0"/>
              <w:keepLines w:val="0"/>
              <w:pageBreakBefore w:val="0"/>
              <w:wordWrap/>
              <w:overflowPunct/>
              <w:topLinePunct w:val="0"/>
              <w:bidi w:val="0"/>
              <w:spacing w:beforeAutospacing="0" w:afterAutospacing="0" w:line="360" w:lineRule="auto"/>
              <w:ind w:firstLine="210"/>
              <w:rPr>
                <w:rFonts w:ascii="宋体" w:hAnsi="宋体" w:cs="宋体"/>
                <w:snapToGrid/>
                <w:color w:val="000000" w:themeColor="text1"/>
                <w:sz w:val="21"/>
                <w:highlight w:val="none"/>
                <w14:textFill>
                  <w14:solidFill>
                    <w14:schemeClr w14:val="tx1"/>
                  </w14:solidFill>
                </w14:textFill>
              </w:rPr>
            </w:pPr>
          </w:p>
        </w:tc>
        <w:tc>
          <w:tcPr>
            <w:tcW w:w="2578" w:type="dxa"/>
            <w:vAlign w:val="center"/>
          </w:tcPr>
          <w:p w14:paraId="2AD2584B">
            <w:pPr>
              <w:pStyle w:val="8"/>
              <w:keepNext w:val="0"/>
              <w:keepLines w:val="0"/>
              <w:pageBreakBefore w:val="0"/>
              <w:wordWrap/>
              <w:overflowPunct/>
              <w:topLinePunct w:val="0"/>
              <w:bidi w:val="0"/>
              <w:spacing w:beforeAutospacing="0" w:afterAutospacing="0" w:line="360" w:lineRule="auto"/>
              <w:ind w:firstLine="210"/>
              <w:rPr>
                <w:rFonts w:ascii="宋体" w:hAnsi="宋体" w:cs="宋体"/>
                <w:snapToGrid/>
                <w:color w:val="000000" w:themeColor="text1"/>
                <w:sz w:val="21"/>
                <w:highlight w:val="none"/>
                <w14:textFill>
                  <w14:solidFill>
                    <w14:schemeClr w14:val="tx1"/>
                  </w14:solidFill>
                </w14:textFill>
              </w:rPr>
            </w:pPr>
          </w:p>
        </w:tc>
        <w:tc>
          <w:tcPr>
            <w:tcW w:w="1985" w:type="dxa"/>
            <w:vAlign w:val="center"/>
          </w:tcPr>
          <w:p w14:paraId="35214A8E">
            <w:pPr>
              <w:pStyle w:val="8"/>
              <w:keepNext w:val="0"/>
              <w:keepLines w:val="0"/>
              <w:pageBreakBefore w:val="0"/>
              <w:wordWrap/>
              <w:overflowPunct/>
              <w:topLinePunct w:val="0"/>
              <w:bidi w:val="0"/>
              <w:spacing w:beforeAutospacing="0" w:afterAutospacing="0" w:line="360" w:lineRule="auto"/>
              <w:ind w:firstLine="210"/>
              <w:rPr>
                <w:rFonts w:ascii="宋体" w:hAnsi="宋体" w:cs="宋体"/>
                <w:snapToGrid/>
                <w:color w:val="000000" w:themeColor="text1"/>
                <w:sz w:val="21"/>
                <w:highlight w:val="none"/>
                <w14:textFill>
                  <w14:solidFill>
                    <w14:schemeClr w14:val="tx1"/>
                  </w14:solidFill>
                </w14:textFill>
              </w:rPr>
            </w:pPr>
          </w:p>
        </w:tc>
        <w:tc>
          <w:tcPr>
            <w:tcW w:w="1276" w:type="dxa"/>
            <w:vAlign w:val="center"/>
          </w:tcPr>
          <w:p w14:paraId="4CF15EAC">
            <w:pPr>
              <w:keepNext w:val="0"/>
              <w:keepLines w:val="0"/>
              <w:pageBreakBefore w:val="0"/>
              <w:wordWrap/>
              <w:overflowPunct/>
              <w:topLinePunct w:val="0"/>
              <w:bidi w:val="0"/>
              <w:spacing w:beforeAutospacing="0" w:afterAutospacing="0" w:line="360" w:lineRule="auto"/>
              <w:ind w:left="5250" w:right="-199" w:firstLine="420"/>
              <w:jc w:val="center"/>
              <w:rPr>
                <w:rFonts w:ascii="宋体" w:hAnsi="宋体" w:cs="宋体"/>
                <w:bCs/>
                <w:snapToGrid w:val="0"/>
                <w:color w:val="000000" w:themeColor="text1"/>
                <w:kern w:val="0"/>
                <w:szCs w:val="21"/>
                <w:highlight w:val="none"/>
                <w14:textFill>
                  <w14:solidFill>
                    <w14:schemeClr w14:val="tx1"/>
                  </w14:solidFill>
                </w14:textFill>
              </w:rPr>
            </w:pPr>
          </w:p>
        </w:tc>
        <w:tc>
          <w:tcPr>
            <w:tcW w:w="1417" w:type="dxa"/>
            <w:vAlign w:val="center"/>
          </w:tcPr>
          <w:p w14:paraId="49405F8C">
            <w:pPr>
              <w:keepNext w:val="0"/>
              <w:keepLines w:val="0"/>
              <w:pageBreakBefore w:val="0"/>
              <w:wordWrap/>
              <w:overflowPunct/>
              <w:topLinePunct w:val="0"/>
              <w:bidi w:val="0"/>
              <w:spacing w:beforeAutospacing="0" w:afterAutospacing="0" w:line="360" w:lineRule="auto"/>
              <w:ind w:left="5250" w:right="-199" w:firstLine="420"/>
              <w:jc w:val="center"/>
              <w:rPr>
                <w:rFonts w:ascii="宋体" w:hAnsi="宋体" w:cs="宋体"/>
                <w:bCs/>
                <w:snapToGrid w:val="0"/>
                <w:color w:val="000000" w:themeColor="text1"/>
                <w:kern w:val="0"/>
                <w:szCs w:val="21"/>
                <w:highlight w:val="none"/>
                <w14:textFill>
                  <w14:solidFill>
                    <w14:schemeClr w14:val="tx1"/>
                  </w14:solidFill>
                </w14:textFill>
              </w:rPr>
            </w:pPr>
          </w:p>
        </w:tc>
        <w:tc>
          <w:tcPr>
            <w:tcW w:w="1559" w:type="dxa"/>
            <w:vAlign w:val="center"/>
          </w:tcPr>
          <w:p w14:paraId="51D28CAB">
            <w:pPr>
              <w:keepNext w:val="0"/>
              <w:keepLines w:val="0"/>
              <w:pageBreakBefore w:val="0"/>
              <w:wordWrap/>
              <w:overflowPunct/>
              <w:topLinePunct w:val="0"/>
              <w:bidi w:val="0"/>
              <w:spacing w:beforeAutospacing="0" w:afterAutospacing="0" w:line="360" w:lineRule="auto"/>
              <w:ind w:left="5250" w:right="-199" w:firstLine="420"/>
              <w:jc w:val="center"/>
              <w:rPr>
                <w:rFonts w:ascii="宋体" w:hAnsi="宋体" w:cs="宋体"/>
                <w:bCs/>
                <w:snapToGrid w:val="0"/>
                <w:color w:val="000000" w:themeColor="text1"/>
                <w:kern w:val="0"/>
                <w:szCs w:val="21"/>
                <w:highlight w:val="none"/>
                <w14:textFill>
                  <w14:solidFill>
                    <w14:schemeClr w14:val="tx1"/>
                  </w14:solidFill>
                </w14:textFill>
              </w:rPr>
            </w:pPr>
          </w:p>
        </w:tc>
      </w:tr>
      <w:tr w14:paraId="522DED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jc w:val="center"/>
        </w:trPr>
        <w:tc>
          <w:tcPr>
            <w:tcW w:w="9636" w:type="dxa"/>
            <w:gridSpan w:val="6"/>
            <w:vAlign w:val="center"/>
          </w:tcPr>
          <w:p w14:paraId="03DC15AF">
            <w:pPr>
              <w:keepNext w:val="0"/>
              <w:keepLines w:val="0"/>
              <w:pageBreakBefore w:val="0"/>
              <w:wordWrap/>
              <w:overflowPunct/>
              <w:topLinePunct w:val="0"/>
              <w:bidi w:val="0"/>
              <w:spacing w:beforeAutospacing="0" w:afterAutospacing="0" w:line="360" w:lineRule="auto"/>
              <w:ind w:firstLine="422"/>
              <w:rPr>
                <w:rFonts w:ascii="宋体" w:hAnsi="宋体" w:cs="宋体"/>
                <w:color w:val="000000" w:themeColor="text1"/>
                <w:kern w:val="0"/>
                <w:szCs w:val="21"/>
                <w:highlight w:val="none"/>
                <w14:textFill>
                  <w14:solidFill>
                    <w14:schemeClr w14:val="tx1"/>
                  </w14:solidFill>
                </w14:textFill>
              </w:rPr>
            </w:pPr>
            <w:r>
              <w:rPr>
                <w:rFonts w:hint="eastAsia" w:ascii="宋体" w:hAnsi="宋体" w:eastAsia="宋体" w:cs="宋体"/>
                <w:b/>
                <w:bCs/>
                <w:color w:val="000000" w:themeColor="text1"/>
                <w:kern w:val="0"/>
                <w:sz w:val="18"/>
                <w:szCs w:val="18"/>
                <w:highlight w:val="none"/>
                <w14:textFill>
                  <w14:solidFill>
                    <w14:schemeClr w14:val="tx1"/>
                  </w14:solidFill>
                </w14:textFill>
              </w:rPr>
              <w:t>注：</w:t>
            </w:r>
            <w:r>
              <w:rPr>
                <w:rFonts w:hint="eastAsia" w:ascii="宋体" w:hAnsi="宋体" w:eastAsia="宋体" w:cs="宋体"/>
                <w:b w:val="0"/>
                <w:bCs w:val="0"/>
                <w:color w:val="000000" w:themeColor="text1"/>
                <w:kern w:val="0"/>
                <w:sz w:val="18"/>
                <w:szCs w:val="18"/>
                <w:highlight w:val="none"/>
                <w14:textFill>
                  <w14:solidFill>
                    <w14:schemeClr w14:val="tx1"/>
                  </w14:solidFill>
                </w14:textFill>
              </w:rPr>
              <w:t>合同执行期间，合同总价不发生改变。（注：</w:t>
            </w:r>
            <w:r>
              <w:rPr>
                <w:rFonts w:hint="eastAsia" w:ascii="宋体" w:hAnsi="宋体" w:eastAsia="宋体" w:cs="宋体"/>
                <w:i w:val="0"/>
                <w:iCs w:val="0"/>
                <w:caps w:val="0"/>
                <w:color w:val="000000" w:themeColor="text1"/>
                <w:spacing w:val="0"/>
                <w:sz w:val="18"/>
                <w:szCs w:val="18"/>
                <w:highlight w:val="none"/>
                <w:shd w:val="clear" w:color="auto" w:fill="FFFFFF"/>
                <w:lang w:val="en-US" w:eastAsia="zh-CN"/>
                <w14:textFill>
                  <w14:solidFill>
                    <w14:schemeClr w14:val="tx1"/>
                  </w14:solidFill>
                </w14:textFill>
              </w:rPr>
              <w:t>合同总价款是完成全部服务内容</w:t>
            </w:r>
            <w:r>
              <w:rPr>
                <w:rFonts w:hint="eastAsia" w:ascii="宋体" w:hAnsi="宋体" w:eastAsia="宋体" w:cs="宋体"/>
                <w:b w:val="0"/>
                <w:bCs w:val="0"/>
                <w:color w:val="000000" w:themeColor="text1"/>
                <w:kern w:val="0"/>
                <w:sz w:val="18"/>
                <w:szCs w:val="18"/>
                <w:highlight w:val="none"/>
                <w14:textFill>
                  <w14:solidFill>
                    <w14:schemeClr w14:val="tx1"/>
                  </w14:solidFill>
                </w14:textFill>
              </w:rPr>
              <w:t>所需的直接费、间接费、利润、税金</w:t>
            </w:r>
            <w:r>
              <w:rPr>
                <w:rFonts w:hint="eastAsia" w:ascii="宋体" w:hAnsi="宋体" w:cs="宋体"/>
                <w:b w:val="0"/>
                <w:bCs w:val="0"/>
                <w:color w:val="000000" w:themeColor="text1"/>
                <w:kern w:val="0"/>
                <w:sz w:val="18"/>
                <w:szCs w:val="18"/>
                <w:highlight w:val="none"/>
                <w:lang w:eastAsia="zh-CN"/>
                <w14:textFill>
                  <w14:solidFill>
                    <w14:schemeClr w14:val="tx1"/>
                  </w14:solidFill>
                </w14:textFill>
              </w:rPr>
              <w:t>及其他相关</w:t>
            </w:r>
            <w:r>
              <w:rPr>
                <w:rFonts w:hint="eastAsia" w:ascii="宋体" w:hAnsi="宋体" w:eastAsia="宋体" w:cs="宋体"/>
                <w:b w:val="0"/>
                <w:bCs w:val="0"/>
                <w:color w:val="000000" w:themeColor="text1"/>
                <w:kern w:val="0"/>
                <w:sz w:val="18"/>
                <w:szCs w:val="18"/>
                <w:highlight w:val="none"/>
                <w14:textFill>
                  <w14:solidFill>
                    <w14:schemeClr w14:val="tx1"/>
                  </w14:solidFill>
                </w14:textFill>
              </w:rPr>
              <w:t>的一切费用，包括但不限于：</w:t>
            </w:r>
            <w:r>
              <w:rPr>
                <w:rFonts w:hint="eastAsia" w:ascii="宋体" w:hAnsi="宋体" w:cs="宋体"/>
                <w:i w:val="0"/>
                <w:iCs w:val="0"/>
                <w:caps w:val="0"/>
                <w:color w:val="000000" w:themeColor="text1"/>
                <w:spacing w:val="0"/>
                <w:sz w:val="18"/>
                <w:szCs w:val="18"/>
                <w:highlight w:val="none"/>
                <w:shd w:val="clear" w:color="auto" w:fill="FFFFFF"/>
                <w:lang w:val="en-US" w:eastAsia="zh-CN"/>
                <w14:textFill>
                  <w14:solidFill>
                    <w14:schemeClr w14:val="tx1"/>
                  </w14:solidFill>
                </w14:textFill>
              </w:rPr>
              <w:t>服务</w:t>
            </w:r>
            <w:r>
              <w:rPr>
                <w:rFonts w:hint="eastAsia" w:ascii="宋体" w:hAnsi="宋体" w:eastAsia="宋体" w:cs="宋体"/>
                <w:i w:val="0"/>
                <w:iCs w:val="0"/>
                <w:caps w:val="0"/>
                <w:color w:val="000000" w:themeColor="text1"/>
                <w:spacing w:val="0"/>
                <w:sz w:val="18"/>
                <w:szCs w:val="18"/>
                <w:highlight w:val="none"/>
                <w:shd w:val="clear" w:color="auto" w:fill="FFFFFF"/>
                <w:lang w:val="en-US" w:eastAsia="zh-CN"/>
                <w14:textFill>
                  <w14:solidFill>
                    <w14:schemeClr w14:val="tx1"/>
                  </w14:solidFill>
                </w14:textFill>
              </w:rPr>
              <w:t>费、</w:t>
            </w:r>
            <w:r>
              <w:rPr>
                <w:rFonts w:hint="eastAsia" w:ascii="宋体" w:hAnsi="宋体" w:cs="宋体"/>
                <w:i w:val="0"/>
                <w:iCs w:val="0"/>
                <w:caps w:val="0"/>
                <w:color w:val="000000" w:themeColor="text1"/>
                <w:spacing w:val="0"/>
                <w:sz w:val="18"/>
                <w:szCs w:val="18"/>
                <w:highlight w:val="none"/>
                <w:shd w:val="clear" w:color="auto" w:fill="FFFFFF"/>
                <w:lang w:val="en-US" w:eastAsia="zh-CN"/>
                <w14:textFill>
                  <w14:solidFill>
                    <w14:schemeClr w14:val="tx1"/>
                  </w14:solidFill>
                </w14:textFill>
              </w:rPr>
              <w:t>成果编制费、</w:t>
            </w:r>
            <w:r>
              <w:rPr>
                <w:rFonts w:hint="eastAsia" w:ascii="宋体" w:hAnsi="宋体" w:eastAsia="宋体" w:cs="宋体"/>
                <w:i w:val="0"/>
                <w:iCs w:val="0"/>
                <w:caps w:val="0"/>
                <w:color w:val="000000" w:themeColor="text1"/>
                <w:spacing w:val="0"/>
                <w:sz w:val="18"/>
                <w:szCs w:val="18"/>
                <w:highlight w:val="none"/>
                <w:shd w:val="clear" w:color="auto" w:fill="FFFFFF"/>
                <w:lang w:val="en-US" w:eastAsia="zh-CN"/>
                <w14:textFill>
                  <w14:solidFill>
                    <w14:schemeClr w14:val="tx1"/>
                  </w14:solidFill>
                </w14:textFill>
              </w:rPr>
              <w:t>人工费、设备使用费、资料费、后期服务费、管理费、</w:t>
            </w:r>
            <w:r>
              <w:rPr>
                <w:rFonts w:hint="eastAsia" w:ascii="宋体" w:hAnsi="宋体" w:eastAsia="宋体" w:cs="宋体"/>
                <w:b w:val="0"/>
                <w:bCs w:val="0"/>
                <w:color w:val="000000" w:themeColor="text1"/>
                <w:kern w:val="0"/>
                <w:sz w:val="18"/>
                <w:szCs w:val="18"/>
                <w:highlight w:val="none"/>
                <w14:textFill>
                  <w14:solidFill>
                    <w14:schemeClr w14:val="tx1"/>
                  </w14:solidFill>
                </w14:textFill>
              </w:rPr>
              <w:t>验收费、利润和税金等全部费用；在提供服务的过程中的任何遗漏，均由乙方免费提供，甲方将不再支付任何费用）。</w:t>
            </w:r>
          </w:p>
        </w:tc>
      </w:tr>
    </w:tbl>
    <w:p w14:paraId="3220DD0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1" w:right="-198" w:firstLine="420" w:firstLineChars="200"/>
        <w:textAlignment w:val="auto"/>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合同签订生效后乙方开始服务，土地查证、核对、勘察、成本估算、收入估算等前期服务内容完成</w:t>
      </w:r>
      <w:r>
        <w:rPr>
          <w:rFonts w:hint="eastAsia" w:ascii="宋体" w:hAnsi="宋体"/>
          <w:color w:val="000000" w:themeColor="text1"/>
          <w:szCs w:val="21"/>
          <w:highlight w:val="none"/>
          <w:lang w:val="en-US" w:eastAsia="zh-CN"/>
          <w14:textFill>
            <w14:solidFill>
              <w14:schemeClr w14:val="tx1"/>
            </w14:solidFill>
          </w14:textFill>
        </w:rPr>
        <w:t>后</w:t>
      </w:r>
      <w:r>
        <w:rPr>
          <w:rFonts w:hint="eastAsia" w:ascii="宋体" w:hAnsi="宋体"/>
          <w:color w:val="000000" w:themeColor="text1"/>
          <w:szCs w:val="21"/>
          <w:highlight w:val="none"/>
          <w14:textFill>
            <w14:solidFill>
              <w14:schemeClr w14:val="tx1"/>
            </w14:solidFill>
          </w14:textFill>
        </w:rPr>
        <w:t>，30日内</w:t>
      </w:r>
      <w:r>
        <w:rPr>
          <w:rFonts w:hint="eastAsia" w:ascii="宋体" w:hAnsi="宋体"/>
          <w:color w:val="000000" w:themeColor="text1"/>
          <w:szCs w:val="21"/>
          <w:highlight w:val="none"/>
          <w:lang w:val="en-US" w:eastAsia="zh-CN"/>
          <w14:textFill>
            <w14:solidFill>
              <w14:schemeClr w14:val="tx1"/>
            </w14:solidFill>
          </w14:textFill>
        </w:rPr>
        <w:t>甲方向乙方</w:t>
      </w:r>
      <w:r>
        <w:rPr>
          <w:rFonts w:hint="eastAsia" w:ascii="宋体" w:hAnsi="宋体"/>
          <w:color w:val="000000" w:themeColor="text1"/>
          <w:szCs w:val="21"/>
          <w:highlight w:val="none"/>
          <w14:textFill>
            <w14:solidFill>
              <w14:schemeClr w14:val="tx1"/>
            </w14:solidFill>
          </w14:textFill>
        </w:rPr>
        <w:t>支付合同总金额的40%；成果文件通过规定</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程序审查后，30日内</w:t>
      </w:r>
      <w:r>
        <w:rPr>
          <w:rFonts w:hint="eastAsia" w:ascii="宋体" w:hAnsi="宋体"/>
          <w:color w:val="000000" w:themeColor="text1"/>
          <w:szCs w:val="21"/>
          <w:highlight w:val="none"/>
          <w:lang w:val="en-US" w:eastAsia="zh-CN"/>
          <w14:textFill>
            <w14:solidFill>
              <w14:schemeClr w14:val="tx1"/>
            </w14:solidFill>
          </w14:textFill>
        </w:rPr>
        <w:t>甲方向乙方</w:t>
      </w:r>
      <w:r>
        <w:rPr>
          <w:rFonts w:hint="eastAsia" w:ascii="宋体" w:hAnsi="宋体"/>
          <w:color w:val="000000" w:themeColor="text1"/>
          <w:szCs w:val="21"/>
          <w:highlight w:val="none"/>
          <w14:textFill>
            <w14:solidFill>
              <w14:schemeClr w14:val="tx1"/>
            </w14:solidFill>
          </w14:textFill>
        </w:rPr>
        <w:t>支付合同总金额的55%；服务期限届满一年</w:t>
      </w:r>
      <w:r>
        <w:rPr>
          <w:rFonts w:hint="eastAsia" w:ascii="宋体" w:hAnsi="宋体"/>
          <w:color w:val="000000" w:themeColor="text1"/>
          <w:szCs w:val="21"/>
          <w:highlight w:val="none"/>
          <w:lang w:val="en-US" w:eastAsia="zh-CN"/>
          <w14:textFill>
            <w14:solidFill>
              <w14:schemeClr w14:val="tx1"/>
            </w14:solidFill>
          </w14:textFill>
        </w:rPr>
        <w:t>且</w:t>
      </w:r>
      <w:r>
        <w:rPr>
          <w:rFonts w:hint="eastAsia" w:ascii="宋体" w:hAnsi="宋体"/>
          <w:color w:val="000000" w:themeColor="text1"/>
          <w:szCs w:val="21"/>
          <w:highlight w:val="none"/>
          <w14:textFill>
            <w14:solidFill>
              <w14:schemeClr w14:val="tx1"/>
            </w14:solidFill>
          </w14:textFill>
        </w:rPr>
        <w:t>后续增值服务结束</w:t>
      </w:r>
      <w:r>
        <w:rPr>
          <w:rFonts w:hint="eastAsia" w:ascii="宋体" w:hAnsi="宋体"/>
          <w:color w:val="000000" w:themeColor="text1"/>
          <w:szCs w:val="21"/>
          <w:highlight w:val="none"/>
          <w:lang w:val="en-US" w:eastAsia="zh-CN"/>
          <w14:textFill>
            <w14:solidFill>
              <w14:schemeClr w14:val="tx1"/>
            </w14:solidFill>
          </w14:textFill>
        </w:rPr>
        <w:t>后</w:t>
      </w:r>
      <w:r>
        <w:rPr>
          <w:rFonts w:hint="eastAsia" w:ascii="宋体" w:hAnsi="宋体"/>
          <w:color w:val="000000" w:themeColor="text1"/>
          <w:szCs w:val="21"/>
          <w:highlight w:val="none"/>
          <w14:textFill>
            <w14:solidFill>
              <w14:schemeClr w14:val="tx1"/>
            </w14:solidFill>
          </w14:textFill>
        </w:rPr>
        <w:t>，30日内</w:t>
      </w:r>
      <w:r>
        <w:rPr>
          <w:rFonts w:hint="eastAsia" w:ascii="宋体" w:hAnsi="宋体"/>
          <w:color w:val="000000" w:themeColor="text1"/>
          <w:szCs w:val="21"/>
          <w:highlight w:val="none"/>
          <w:lang w:val="en-US" w:eastAsia="zh-CN"/>
          <w14:textFill>
            <w14:solidFill>
              <w14:schemeClr w14:val="tx1"/>
            </w14:solidFill>
          </w14:textFill>
        </w:rPr>
        <w:t>甲方向乙方</w:t>
      </w:r>
      <w:r>
        <w:rPr>
          <w:rFonts w:hint="eastAsia" w:ascii="宋体" w:hAnsi="宋体"/>
          <w:color w:val="000000" w:themeColor="text1"/>
          <w:szCs w:val="21"/>
          <w:highlight w:val="none"/>
          <w14:textFill>
            <w14:solidFill>
              <w14:schemeClr w14:val="tx1"/>
            </w14:solidFill>
          </w14:textFill>
        </w:rPr>
        <w:t>一次性支付剩余</w:t>
      </w:r>
      <w:r>
        <w:rPr>
          <w:rFonts w:hint="eastAsia" w:ascii="宋体" w:hAnsi="宋体"/>
          <w:color w:val="000000" w:themeColor="text1"/>
          <w:szCs w:val="21"/>
          <w:highlight w:val="none"/>
          <w:lang w:val="en-US" w:eastAsia="zh-CN"/>
          <w14:textFill>
            <w14:solidFill>
              <w14:schemeClr w14:val="tx1"/>
            </w14:solidFill>
          </w14:textFill>
        </w:rPr>
        <w:t>合同</w:t>
      </w:r>
      <w:r>
        <w:rPr>
          <w:rFonts w:hint="eastAsia" w:ascii="宋体" w:hAnsi="宋体"/>
          <w:color w:val="000000" w:themeColor="text1"/>
          <w:szCs w:val="21"/>
          <w:highlight w:val="none"/>
          <w14:textFill>
            <w14:solidFill>
              <w14:schemeClr w14:val="tx1"/>
            </w14:solidFill>
          </w14:textFill>
        </w:rPr>
        <w:t>金额。</w:t>
      </w:r>
    </w:p>
    <w:p w14:paraId="070E446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3、付款前，乙方应开具与付款金额一致的正式发票给甲方，甲方收到发票后以转账形式支付给乙方服务费用，否则，甲方有</w:t>
      </w:r>
      <w:r>
        <w:rPr>
          <w:rFonts w:hint="eastAsia" w:ascii="宋体" w:hAnsi="宋体" w:cs="宋体"/>
          <w:color w:val="000000" w:themeColor="text1"/>
          <w:szCs w:val="21"/>
          <w:highlight w:val="none"/>
          <w14:textFill>
            <w14:solidFill>
              <w14:schemeClr w14:val="tx1"/>
            </w14:solidFill>
          </w14:textFill>
        </w:rPr>
        <w:t>权拒绝付款且不承担任何违约责任，且乙方不得以此为由停止履行本合同项下的任意义务。</w:t>
      </w:r>
    </w:p>
    <w:p w14:paraId="64D7B340">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4、因甲方所有的付款均需财政部门审批，本合同履行期间，非因甲方故意拖延付款申请流程造成的逾期付款的，乙方对此予以谅解</w:t>
      </w:r>
      <w:r>
        <w:rPr>
          <w:rFonts w:hint="eastAsia" w:ascii="宋体" w:hAnsi="宋体" w:cs="宋体"/>
          <w:color w:val="000000" w:themeColor="text1"/>
          <w:szCs w:val="21"/>
          <w:highlight w:val="none"/>
          <w:lang w:val="en-US" w:eastAsia="zh-CN"/>
          <w14:textFill>
            <w14:solidFill>
              <w14:schemeClr w14:val="tx1"/>
            </w14:solidFill>
          </w14:textFill>
        </w:rPr>
        <w:t>且</w:t>
      </w:r>
      <w:r>
        <w:rPr>
          <w:rFonts w:hint="eastAsia" w:ascii="宋体" w:hAnsi="宋体" w:cs="宋体"/>
          <w:color w:val="000000" w:themeColor="text1"/>
          <w:szCs w:val="21"/>
          <w:highlight w:val="none"/>
          <w14:textFill>
            <w14:solidFill>
              <w14:schemeClr w14:val="tx1"/>
            </w14:solidFill>
          </w14:textFill>
        </w:rPr>
        <w:t>不得追究甲方的逾期付款责任。</w:t>
      </w:r>
    </w:p>
    <w:p w14:paraId="0FEF30B3">
      <w:pPr>
        <w:keepNext w:val="0"/>
        <w:keepLines w:val="0"/>
        <w:pageBreakBefore w:val="0"/>
        <w:wordWrap/>
        <w:overflowPunct/>
        <w:topLinePunct w:val="0"/>
        <w:bidi w:val="0"/>
        <w:spacing w:beforeAutospacing="0" w:afterAutospacing="0" w:line="360" w:lineRule="auto"/>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第四条  知识产权</w:t>
      </w:r>
    </w:p>
    <w:p w14:paraId="10F86B84">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1、乙方应保证所提供的成果（或服务）其任何一部分均不会侵犯任何第三方的专利权、商标权或著作权。</w:t>
      </w:r>
    </w:p>
    <w:p w14:paraId="5E3C4E23">
      <w:pPr>
        <w:keepNext w:val="0"/>
        <w:keepLines w:val="0"/>
        <w:pageBreakBefore w:val="0"/>
        <w:wordWrap/>
        <w:overflowPunct/>
        <w:topLinePunct w:val="0"/>
        <w:bidi w:val="0"/>
        <w:spacing w:beforeAutospacing="0" w:afterAutospacing="0" w:line="360" w:lineRule="auto"/>
        <w:ind w:firstLine="42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乙方保证其项目实施过程中不侵犯任何第三方的知识产权；如出现侵犯第三方知识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14:paraId="025D6F42">
      <w:pPr>
        <w:keepNext w:val="0"/>
        <w:keepLines w:val="0"/>
        <w:pageBreakBefore w:val="0"/>
        <w:wordWrap/>
        <w:overflowPunct/>
        <w:topLinePunct w:val="0"/>
        <w:bidi w:val="0"/>
        <w:spacing w:beforeAutospacing="0" w:afterAutospacing="0"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shd w:val="clear" w:color="auto" w:fill="FFFFFF"/>
          <w:lang w:val="en-US" w:eastAsia="zh-CN"/>
          <w14:textFill>
            <w14:solidFill>
              <w14:schemeClr w14:val="tx1"/>
            </w14:solidFill>
          </w14:textFill>
        </w:rPr>
        <w:t>3、</w:t>
      </w:r>
      <w:r>
        <w:rPr>
          <w:rFonts w:hint="eastAsia" w:ascii="宋体" w:hAnsi="宋体" w:cs="宋体"/>
          <w:color w:val="000000" w:themeColor="text1"/>
          <w:szCs w:val="21"/>
          <w:highlight w:val="none"/>
          <w:shd w:val="clear" w:color="auto" w:fill="FFFFFF"/>
          <w14:textFill>
            <w14:solidFill>
              <w14:schemeClr w14:val="tx1"/>
            </w14:solidFill>
          </w14:textFill>
        </w:rPr>
        <w:t>编制成果所有权归甲方所有，未经许可不得外泄或给第三方提供；</w:t>
      </w:r>
      <w:r>
        <w:rPr>
          <w:rFonts w:hint="eastAsia" w:ascii="宋体" w:hAnsi="宋体" w:cs="宋体"/>
          <w:color w:val="000000" w:themeColor="text1"/>
          <w:szCs w:val="21"/>
          <w:highlight w:val="none"/>
          <w14:textFill>
            <w14:solidFill>
              <w14:schemeClr w14:val="tx1"/>
            </w14:solidFill>
          </w14:textFill>
        </w:rPr>
        <w:t>如出现乙方</w:t>
      </w:r>
      <w:r>
        <w:rPr>
          <w:rFonts w:hint="eastAsia" w:ascii="宋体" w:hAnsi="宋体" w:cs="宋体"/>
          <w:color w:val="000000" w:themeColor="text1"/>
          <w:szCs w:val="21"/>
          <w:highlight w:val="none"/>
          <w:shd w:val="clear" w:color="auto" w:fill="FFFFFF"/>
          <w14:textFill>
            <w14:solidFill>
              <w14:schemeClr w14:val="tx1"/>
            </w14:solidFill>
          </w14:textFill>
        </w:rPr>
        <w:t>外泄或给第三方提供给甲方造成损失的</w:t>
      </w:r>
      <w:r>
        <w:rPr>
          <w:rFonts w:hint="eastAsia" w:ascii="宋体" w:hAnsi="宋体" w:cs="宋体"/>
          <w:color w:val="000000" w:themeColor="text1"/>
          <w:szCs w:val="21"/>
          <w:highlight w:val="none"/>
          <w14:textFill>
            <w14:solidFill>
              <w14:schemeClr w14:val="tx1"/>
            </w14:solidFill>
          </w14:textFill>
        </w:rPr>
        <w:t>，乙方应负责承担由此造成的一切责任和损失。</w:t>
      </w:r>
    </w:p>
    <w:p w14:paraId="0D6BE0B7">
      <w:pPr>
        <w:keepNext w:val="0"/>
        <w:keepLines w:val="0"/>
        <w:pageBreakBefore w:val="0"/>
        <w:wordWrap/>
        <w:overflowPunct/>
        <w:topLinePunct w:val="0"/>
        <w:bidi w:val="0"/>
        <w:spacing w:beforeAutospacing="0" w:afterAutospacing="0" w:line="360" w:lineRule="auto"/>
        <w:rPr>
          <w:rFonts w:ascii="宋体" w:hAnsi="宋体" w:cs="宋体"/>
          <w:b/>
          <w:bCs/>
          <w:color w:val="000000" w:themeColor="text1"/>
          <w:szCs w:val="21"/>
          <w:highlight w:val="none"/>
          <w:shd w:val="clear" w:color="auto" w:fill="FFFFFF"/>
          <w14:textFill>
            <w14:solidFill>
              <w14:schemeClr w14:val="tx1"/>
            </w14:solidFill>
          </w14:textFill>
        </w:rPr>
      </w:pPr>
      <w:r>
        <w:rPr>
          <w:rFonts w:hint="eastAsia" w:ascii="宋体" w:hAnsi="宋体" w:cs="宋体"/>
          <w:b/>
          <w:bCs/>
          <w:color w:val="000000" w:themeColor="text1"/>
          <w:szCs w:val="21"/>
          <w:highlight w:val="none"/>
          <w:shd w:val="clear" w:color="auto" w:fill="FFFFFF"/>
          <w14:textFill>
            <w14:solidFill>
              <w14:schemeClr w14:val="tx1"/>
            </w14:solidFill>
          </w14:textFill>
        </w:rPr>
        <w:t>第五条 验收</w:t>
      </w:r>
    </w:p>
    <w:p w14:paraId="0F2EAF1C">
      <w:pPr>
        <w:keepNext w:val="0"/>
        <w:keepLines w:val="0"/>
        <w:pageBreakBefore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Cs w:val="21"/>
          <w:highlight w:val="none"/>
          <w:shd w:val="clear" w:color="auto" w:fill="FFFFFF"/>
          <w:lang w:eastAsia="zh-CN"/>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1、若有验收程序，甲乙双方必须同时在场，乙方所提供的服务</w:t>
      </w:r>
      <w:r>
        <w:rPr>
          <w:rFonts w:hint="eastAsia" w:ascii="宋体" w:hAnsi="宋体" w:cs="宋体"/>
          <w:color w:val="000000" w:themeColor="text1"/>
          <w:szCs w:val="21"/>
          <w:highlight w:val="none"/>
          <w:shd w:val="clear" w:color="auto" w:fill="FFFFFF"/>
          <w:lang w:eastAsia="zh-CN"/>
          <w14:textFill>
            <w14:solidFill>
              <w14:schemeClr w14:val="tx1"/>
            </w14:solidFill>
          </w14:textFill>
        </w:rPr>
        <w:t>（</w:t>
      </w:r>
      <w:r>
        <w:rPr>
          <w:rFonts w:hint="eastAsia" w:ascii="宋体" w:hAnsi="宋体" w:cs="宋体"/>
          <w:color w:val="000000" w:themeColor="text1"/>
          <w:szCs w:val="21"/>
          <w:highlight w:val="none"/>
          <w:shd w:val="clear" w:color="auto" w:fill="FFFFFF"/>
          <w:lang w:val="en-US" w:eastAsia="zh-CN"/>
          <w14:textFill>
            <w14:solidFill>
              <w14:schemeClr w14:val="tx1"/>
            </w14:solidFill>
          </w14:textFill>
        </w:rPr>
        <w:t>包括成果文件的份数、纸质电子要求等</w:t>
      </w:r>
      <w:r>
        <w:rPr>
          <w:rFonts w:hint="eastAsia" w:ascii="宋体" w:hAnsi="宋体" w:cs="宋体"/>
          <w:color w:val="000000" w:themeColor="text1"/>
          <w:szCs w:val="21"/>
          <w:highlight w:val="none"/>
          <w:shd w:val="clear" w:color="auto" w:fill="FFFFFF"/>
          <w:lang w:eastAsia="zh-CN"/>
          <w14:textFill>
            <w14:solidFill>
              <w14:schemeClr w14:val="tx1"/>
            </w14:solidFill>
          </w14:textFill>
        </w:rPr>
        <w:t>）</w:t>
      </w:r>
      <w:r>
        <w:rPr>
          <w:rFonts w:hint="eastAsia" w:ascii="宋体" w:hAnsi="宋体" w:cs="宋体"/>
          <w:color w:val="000000" w:themeColor="text1"/>
          <w:szCs w:val="21"/>
          <w:highlight w:val="none"/>
          <w:shd w:val="clear" w:color="auto" w:fill="FFFFFF"/>
          <w14:textFill>
            <w14:solidFill>
              <w14:schemeClr w14:val="tx1"/>
            </w14:solidFill>
          </w14:textFill>
        </w:rPr>
        <w:t>不符合合同内容规定的，甲方有权拒绝验收。乙方应及时按本合同内容规定和甲方要求免费进行整改，直至验收合格，方视为乙方按本合同规定完成服务</w:t>
      </w:r>
      <w:r>
        <w:rPr>
          <w:rFonts w:hint="eastAsia" w:ascii="宋体" w:hAnsi="宋体" w:cs="宋体"/>
          <w:color w:val="000000" w:themeColor="text1"/>
          <w:szCs w:val="21"/>
          <w:highlight w:val="none"/>
          <w:shd w:val="clear" w:color="auto" w:fill="FFFFFF"/>
          <w:lang w:eastAsia="zh-CN"/>
          <w14:textFill>
            <w14:solidFill>
              <w14:schemeClr w14:val="tx1"/>
            </w14:solidFill>
          </w14:textFill>
        </w:rPr>
        <w:t>。</w:t>
      </w:r>
    </w:p>
    <w:p w14:paraId="2A7E91E9">
      <w:pPr>
        <w:keepNext w:val="0"/>
        <w:keepLines w:val="0"/>
        <w:pageBreakBefore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Cs w:val="21"/>
          <w:highlight w:val="none"/>
          <w:shd w:val="clear" w:color="auto" w:fill="FFFFFF"/>
          <w:lang w:eastAsia="zh-CN"/>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2、在经过乙方两次限期整改后，服务仍达不到合同文件规定内容的，甲方有权拒收，并可以解除合同，由此引起甲方损失及赔偿责任由乙方承担</w:t>
      </w:r>
      <w:r>
        <w:rPr>
          <w:rFonts w:hint="eastAsia" w:ascii="宋体" w:hAnsi="宋体" w:cs="宋体"/>
          <w:color w:val="000000" w:themeColor="text1"/>
          <w:szCs w:val="21"/>
          <w:highlight w:val="none"/>
          <w:shd w:val="clear" w:color="auto" w:fill="FFFFFF"/>
          <w:lang w:eastAsia="zh-CN"/>
          <w14:textFill>
            <w14:solidFill>
              <w14:schemeClr w14:val="tx1"/>
            </w14:solidFill>
          </w14:textFill>
        </w:rPr>
        <w:t>。</w:t>
      </w:r>
    </w:p>
    <w:p w14:paraId="36C4CC42">
      <w:pPr>
        <w:keepNext w:val="0"/>
        <w:keepLines w:val="0"/>
        <w:pageBreakBefore w:val="0"/>
        <w:wordWrap/>
        <w:overflowPunct/>
        <w:topLinePunct w:val="0"/>
        <w:bidi w:val="0"/>
        <w:spacing w:beforeAutospacing="0" w:afterAutospacing="0" w:line="360" w:lineRule="auto"/>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第六条  甲方的权利和义务</w:t>
      </w:r>
    </w:p>
    <w:p w14:paraId="5FCDB836">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1、甲方对合同规定服务范围和内容拥有监管权，</w:t>
      </w:r>
      <w:r>
        <w:rPr>
          <w:rFonts w:hint="eastAsia" w:ascii="宋体" w:hAnsi="宋体" w:cs="宋体"/>
          <w:color w:val="000000" w:themeColor="text1"/>
          <w:szCs w:val="21"/>
          <w:highlight w:val="none"/>
          <w:shd w:val="clear" w:color="auto" w:fill="FFFFFF"/>
          <w14:textFill>
            <w14:solidFill>
              <w14:schemeClr w14:val="tx1"/>
            </w14:solidFill>
          </w14:textFill>
        </w:rPr>
        <w:t>有权向乙方询问工作进展情况及相关的内容；</w:t>
      </w:r>
    </w:p>
    <w:p w14:paraId="2FAB4F01">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2、</w:t>
      </w:r>
      <w:r>
        <w:rPr>
          <w:rFonts w:hint="eastAsia" w:ascii="宋体" w:hAnsi="宋体" w:cs="宋体"/>
          <w:color w:val="000000" w:themeColor="text1"/>
          <w:szCs w:val="21"/>
          <w:highlight w:val="none"/>
          <w14:textFill>
            <w14:solidFill>
              <w14:schemeClr w14:val="tx1"/>
            </w14:solidFill>
          </w14:textFill>
        </w:rPr>
        <w:t>甲方</w:t>
      </w:r>
      <w:r>
        <w:rPr>
          <w:rFonts w:hint="eastAsia" w:ascii="宋体" w:hAnsi="宋体" w:cs="宋体"/>
          <w:color w:val="000000" w:themeColor="text1"/>
          <w:szCs w:val="21"/>
          <w:highlight w:val="none"/>
          <w:shd w:val="clear" w:color="auto" w:fill="FFFFFF"/>
          <w14:textFill>
            <w14:solidFill>
              <w14:schemeClr w14:val="tx1"/>
            </w14:solidFill>
          </w14:textFill>
        </w:rPr>
        <w:t>有权阐述对具体问题的意见和建议；</w:t>
      </w:r>
    </w:p>
    <w:p w14:paraId="354D65E6">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3、甲方</w:t>
      </w:r>
      <w:r>
        <w:rPr>
          <w:rFonts w:hint="eastAsia" w:ascii="宋体" w:hAnsi="宋体" w:cs="宋体"/>
          <w:color w:val="000000" w:themeColor="text1"/>
          <w:szCs w:val="21"/>
          <w:highlight w:val="none"/>
          <w:shd w:val="clear" w:color="auto" w:fill="FFFFFF"/>
          <w14:textFill>
            <w14:solidFill>
              <w14:schemeClr w14:val="tx1"/>
            </w14:solidFill>
          </w14:textFill>
        </w:rPr>
        <w:t>有权</w:t>
      </w:r>
      <w:r>
        <w:rPr>
          <w:rFonts w:hint="eastAsia" w:ascii="宋体" w:hAnsi="宋体" w:cs="宋体"/>
          <w:color w:val="000000" w:themeColor="text1"/>
          <w:szCs w:val="21"/>
          <w:highlight w:val="none"/>
          <w14:textFill>
            <w14:solidFill>
              <w14:schemeClr w14:val="tx1"/>
            </w14:solidFill>
          </w14:textFill>
        </w:rPr>
        <w:t>对认为不合理的部分有权下达整改通知书，并要求乙方限期整改；</w:t>
      </w:r>
    </w:p>
    <w:p w14:paraId="3F356699">
      <w:pPr>
        <w:keepNext w:val="0"/>
        <w:keepLines w:val="0"/>
        <w:pageBreakBefore w:val="0"/>
        <w:wordWrap/>
        <w:overflowPunct/>
        <w:topLinePunct w:val="0"/>
        <w:bidi w:val="0"/>
        <w:spacing w:beforeAutospacing="0" w:afterAutospacing="0" w:line="360" w:lineRule="auto"/>
        <w:ind w:firstLine="420" w:firstLineChars="200"/>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4、甲方有权根据项目的具体情况，要求乙方按期到项目现场协调解决问题；</w:t>
      </w:r>
    </w:p>
    <w:p w14:paraId="7F12D227">
      <w:pPr>
        <w:keepNext w:val="0"/>
        <w:keepLines w:val="0"/>
        <w:pageBreakBefore w:val="0"/>
        <w:wordWrap/>
        <w:overflowPunct/>
        <w:topLinePunct w:val="0"/>
        <w:bidi w:val="0"/>
        <w:spacing w:beforeAutospacing="0" w:afterAutospacing="0" w:line="360" w:lineRule="auto"/>
        <w:ind w:firstLine="420" w:firstLineChars="200"/>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5、当甲方认定乙方专业人员不按合同履行其职责，或与第三人串通给甲方造成经济损失的，甲方有权要求乙方更换专业人员；</w:t>
      </w:r>
    </w:p>
    <w:p w14:paraId="57580E0F">
      <w:pPr>
        <w:keepNext w:val="0"/>
        <w:keepLines w:val="0"/>
        <w:pageBreakBefore w:val="0"/>
        <w:wordWrap/>
        <w:overflowPunct/>
        <w:topLinePunct w:val="0"/>
        <w:bidi w:val="0"/>
        <w:spacing w:beforeAutospacing="0" w:afterAutospacing="0" w:line="360" w:lineRule="auto"/>
        <w:ind w:firstLine="420" w:firstLineChars="200"/>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6、甲方应当在约定的时间内向乙方提供与本项目实施有关的资料；</w:t>
      </w:r>
    </w:p>
    <w:p w14:paraId="060688F0">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7、根据本合同规定，按时向乙方支付应付服务费用；</w:t>
      </w:r>
    </w:p>
    <w:p w14:paraId="638E8212">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8、国家</w:t>
      </w:r>
      <w:r>
        <w:rPr>
          <w:rFonts w:hint="eastAsia" w:ascii="宋体" w:hAnsi="宋体" w:cs="宋体"/>
          <w:color w:val="000000" w:themeColor="text1"/>
          <w:szCs w:val="21"/>
          <w:highlight w:val="none"/>
          <w:lang w:eastAsia="zh-CN"/>
          <w14:textFill>
            <w14:solidFill>
              <w14:schemeClr w14:val="tx1"/>
            </w14:solidFill>
          </w14:textFill>
        </w:rPr>
        <w:t>法律法规</w:t>
      </w:r>
      <w:r>
        <w:rPr>
          <w:rFonts w:hint="eastAsia" w:ascii="宋体" w:hAnsi="宋体" w:cs="宋体"/>
          <w:color w:val="000000" w:themeColor="text1"/>
          <w:szCs w:val="21"/>
          <w:highlight w:val="none"/>
          <w14:textFill>
            <w14:solidFill>
              <w14:schemeClr w14:val="tx1"/>
            </w14:solidFill>
          </w14:textFill>
        </w:rPr>
        <w:t>所规定由甲方承担的</w:t>
      </w:r>
      <w:r>
        <w:rPr>
          <w:rFonts w:hint="eastAsia" w:ascii="宋体" w:hAnsi="宋体" w:cs="宋体"/>
          <w:color w:val="000000" w:themeColor="text1"/>
          <w:szCs w:val="21"/>
          <w:highlight w:val="none"/>
          <w:lang w:eastAsia="zh-CN"/>
          <w14:textFill>
            <w14:solidFill>
              <w14:schemeClr w14:val="tx1"/>
            </w14:solidFill>
          </w14:textFill>
        </w:rPr>
        <w:t>其他</w:t>
      </w:r>
      <w:r>
        <w:rPr>
          <w:rFonts w:hint="eastAsia" w:ascii="宋体" w:hAnsi="宋体" w:cs="宋体"/>
          <w:color w:val="000000" w:themeColor="text1"/>
          <w:szCs w:val="21"/>
          <w:highlight w:val="none"/>
          <w14:textFill>
            <w14:solidFill>
              <w14:schemeClr w14:val="tx1"/>
            </w14:solidFill>
          </w14:textFill>
        </w:rPr>
        <w:t>责任。</w:t>
      </w:r>
    </w:p>
    <w:p w14:paraId="117113B5">
      <w:pPr>
        <w:keepNext w:val="0"/>
        <w:keepLines w:val="0"/>
        <w:pageBreakBefore w:val="0"/>
        <w:wordWrap/>
        <w:overflowPunct/>
        <w:topLinePunct w:val="0"/>
        <w:bidi w:val="0"/>
        <w:spacing w:beforeAutospacing="0" w:afterAutospacing="0" w:line="360" w:lineRule="auto"/>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第七条  乙方的权利和义务</w:t>
      </w:r>
    </w:p>
    <w:p w14:paraId="411FAD47">
      <w:pPr>
        <w:keepNext w:val="0"/>
        <w:keepLines w:val="0"/>
        <w:pageBreakBefore w:val="0"/>
        <w:wordWrap/>
        <w:overflowPunct/>
        <w:topLinePunct w:val="0"/>
        <w:bidi w:val="0"/>
        <w:spacing w:beforeAutospacing="0" w:afterAutospacing="0" w:line="360" w:lineRule="auto"/>
        <w:ind w:firstLine="420" w:firstLineChars="200"/>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1、乙方在项目实施过程中，如甲方提供的资料不明确时可向甲方提出书面报告；</w:t>
      </w:r>
    </w:p>
    <w:p w14:paraId="137EF6E2">
      <w:pPr>
        <w:keepNext w:val="0"/>
        <w:keepLines w:val="0"/>
        <w:pageBreakBefore w:val="0"/>
        <w:wordWrap/>
        <w:overflowPunct/>
        <w:topLinePunct w:val="0"/>
        <w:bidi w:val="0"/>
        <w:spacing w:beforeAutospacing="0" w:afterAutospacing="0" w:line="360" w:lineRule="auto"/>
        <w:ind w:firstLine="420" w:firstLineChars="200"/>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2、乙方在项目实施过程中，有到项目现场勘察的权利；</w:t>
      </w:r>
    </w:p>
    <w:p w14:paraId="3F3FD10C">
      <w:pPr>
        <w:keepNext w:val="0"/>
        <w:keepLines w:val="0"/>
        <w:pageBreakBefore w:val="0"/>
        <w:wordWrap/>
        <w:overflowPunct/>
        <w:topLinePunct w:val="0"/>
        <w:bidi w:val="0"/>
        <w:spacing w:beforeAutospacing="0" w:afterAutospacing="0" w:line="360" w:lineRule="auto"/>
        <w:ind w:firstLine="420" w:firstLineChars="200"/>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3、乙方相关工作及配套服务必须保证科学、准确、符合城市发展实际情况；</w:t>
      </w:r>
    </w:p>
    <w:p w14:paraId="2E1713AB">
      <w:pPr>
        <w:keepNext w:val="0"/>
        <w:keepLines w:val="0"/>
        <w:pageBreakBefore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Cs w:val="21"/>
          <w:highlight w:val="none"/>
          <w:shd w:val="clear" w:color="auto" w:fill="FFFFFF"/>
          <w:lang w:eastAsia="zh-CN"/>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4、乙方不得以任何借口拖延指标制定、收集、分析、报告编制等相关服务</w:t>
      </w:r>
      <w:r>
        <w:rPr>
          <w:rFonts w:hint="eastAsia" w:ascii="宋体" w:hAnsi="宋体" w:cs="宋体"/>
          <w:color w:val="000000" w:themeColor="text1"/>
          <w:szCs w:val="21"/>
          <w:highlight w:val="none"/>
          <w:shd w:val="clear" w:color="auto" w:fill="FFFFFF"/>
          <w:lang w:eastAsia="zh-CN"/>
          <w14:textFill>
            <w14:solidFill>
              <w14:schemeClr w14:val="tx1"/>
            </w14:solidFill>
          </w14:textFill>
        </w:rPr>
        <w:t>；</w:t>
      </w:r>
    </w:p>
    <w:p w14:paraId="6C5B27CF">
      <w:pPr>
        <w:keepNext w:val="0"/>
        <w:keepLines w:val="0"/>
        <w:pageBreakBefore w:val="0"/>
        <w:wordWrap/>
        <w:overflowPunct/>
        <w:topLinePunct w:val="0"/>
        <w:bidi w:val="0"/>
        <w:spacing w:beforeAutospacing="0" w:afterAutospacing="0" w:line="360" w:lineRule="auto"/>
        <w:ind w:firstLine="420" w:firstLineChars="200"/>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5、要随时响应甲方提出的其他相关临时性要求；</w:t>
      </w:r>
    </w:p>
    <w:p w14:paraId="4AE6E59A">
      <w:pPr>
        <w:keepNext w:val="0"/>
        <w:keepLines w:val="0"/>
        <w:pageBreakBefore w:val="0"/>
        <w:wordWrap/>
        <w:overflowPunct/>
        <w:topLinePunct w:val="0"/>
        <w:bidi w:val="0"/>
        <w:spacing w:beforeAutospacing="0" w:afterAutospacing="0" w:line="360" w:lineRule="auto"/>
        <w:ind w:firstLine="420" w:firstLineChars="200"/>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6、项目完成后，乙方应按采购文件要求，及时向甲方提供成果资料及相关文件资料；</w:t>
      </w:r>
    </w:p>
    <w:p w14:paraId="3071E5A1">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7、接受项目行业管理部门及政府有关部门的指导，接受甲方的监督；</w:t>
      </w:r>
    </w:p>
    <w:p w14:paraId="49F331BE">
      <w:pPr>
        <w:keepNext w:val="0"/>
        <w:keepLines w:val="0"/>
        <w:pageBreakBefore w:val="0"/>
        <w:wordWrap/>
        <w:overflowPunct/>
        <w:topLinePunct w:val="0"/>
        <w:bidi w:val="0"/>
        <w:spacing w:beforeAutospacing="0" w:afterAutospacing="0" w:line="360" w:lineRule="auto"/>
        <w:ind w:firstLine="420"/>
        <w:rPr>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8、国家</w:t>
      </w:r>
      <w:r>
        <w:rPr>
          <w:rFonts w:hint="eastAsia" w:ascii="宋体" w:hAnsi="宋体" w:cs="宋体"/>
          <w:color w:val="000000" w:themeColor="text1"/>
          <w:szCs w:val="21"/>
          <w:highlight w:val="none"/>
          <w:lang w:eastAsia="zh-CN"/>
          <w14:textFill>
            <w14:solidFill>
              <w14:schemeClr w14:val="tx1"/>
            </w14:solidFill>
          </w14:textFill>
        </w:rPr>
        <w:t>法律法规</w:t>
      </w:r>
      <w:r>
        <w:rPr>
          <w:rFonts w:hint="eastAsia" w:ascii="宋体" w:hAnsi="宋体" w:cs="宋体"/>
          <w:color w:val="000000" w:themeColor="text1"/>
          <w:szCs w:val="21"/>
          <w:highlight w:val="none"/>
          <w14:textFill>
            <w14:solidFill>
              <w14:schemeClr w14:val="tx1"/>
            </w14:solidFill>
          </w14:textFill>
        </w:rPr>
        <w:t>所规定由乙方承担的</w:t>
      </w:r>
      <w:r>
        <w:rPr>
          <w:rFonts w:hint="eastAsia" w:ascii="宋体" w:hAnsi="宋体" w:cs="宋体"/>
          <w:color w:val="000000" w:themeColor="text1"/>
          <w:szCs w:val="21"/>
          <w:highlight w:val="none"/>
          <w:lang w:eastAsia="zh-CN"/>
          <w14:textFill>
            <w14:solidFill>
              <w14:schemeClr w14:val="tx1"/>
            </w14:solidFill>
          </w14:textFill>
        </w:rPr>
        <w:t>其他</w:t>
      </w:r>
      <w:r>
        <w:rPr>
          <w:rFonts w:hint="eastAsia" w:ascii="宋体" w:hAnsi="宋体" w:cs="宋体"/>
          <w:color w:val="000000" w:themeColor="text1"/>
          <w:szCs w:val="21"/>
          <w:highlight w:val="none"/>
          <w14:textFill>
            <w14:solidFill>
              <w14:schemeClr w14:val="tx1"/>
            </w14:solidFill>
          </w14:textFill>
        </w:rPr>
        <w:t>责任。</w:t>
      </w:r>
    </w:p>
    <w:p w14:paraId="38FB31B8">
      <w:pPr>
        <w:keepNext w:val="0"/>
        <w:keepLines w:val="0"/>
        <w:pageBreakBefore w:val="0"/>
        <w:wordWrap/>
        <w:overflowPunct/>
        <w:topLinePunct w:val="0"/>
        <w:bidi w:val="0"/>
        <w:spacing w:beforeAutospacing="0" w:afterAutospacing="0" w:line="360" w:lineRule="auto"/>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第八条  违约责任</w:t>
      </w:r>
    </w:p>
    <w:p w14:paraId="062F052E">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1、甲乙双方必须遵守本合同并执行合同中的各项规定，保证本合同的正常履行。</w:t>
      </w:r>
    </w:p>
    <w:p w14:paraId="107DE293">
      <w:pPr>
        <w:keepNext w:val="0"/>
        <w:keepLines w:val="0"/>
        <w:pageBreakBefore w:val="0"/>
        <w:wordWrap/>
        <w:overflowPunct/>
        <w:topLinePunct w:val="0"/>
        <w:bidi w:val="0"/>
        <w:spacing w:beforeAutospacing="0" w:afterAutospacing="0"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2、</w:t>
      </w:r>
      <w:r>
        <w:rPr>
          <w:rFonts w:hint="eastAsia" w:ascii="宋体" w:hAnsi="宋体" w:cs="宋体"/>
          <w:color w:val="000000" w:themeColor="text1"/>
          <w:szCs w:val="21"/>
          <w:highlight w:val="none"/>
          <w14:textFill>
            <w14:solidFill>
              <w14:schemeClr w14:val="tx1"/>
            </w14:solidFill>
          </w14:textFill>
        </w:rPr>
        <w:t>未经甲方书面同意，乙方擅自将服务过程中所接触到的甲方</w:t>
      </w:r>
      <w:r>
        <w:rPr>
          <w:rFonts w:hint="eastAsia" w:ascii="宋体" w:hAnsi="宋体" w:cs="宋体"/>
          <w:color w:val="000000" w:themeColor="text1"/>
          <w:szCs w:val="21"/>
          <w:highlight w:val="none"/>
          <w:lang w:eastAsia="zh-CN"/>
          <w14:textFill>
            <w14:solidFill>
              <w14:schemeClr w14:val="tx1"/>
            </w14:solidFill>
          </w14:textFill>
        </w:rPr>
        <w:t>资源</w:t>
      </w:r>
      <w:r>
        <w:rPr>
          <w:rFonts w:hint="eastAsia" w:ascii="宋体" w:hAnsi="宋体" w:cs="宋体"/>
          <w:color w:val="000000" w:themeColor="text1"/>
          <w:szCs w:val="21"/>
          <w:highlight w:val="none"/>
          <w14:textFill>
            <w14:solidFill>
              <w14:schemeClr w14:val="tx1"/>
            </w14:solidFill>
          </w14:textFill>
        </w:rPr>
        <w:t>数据和信息，以及在合同</w:t>
      </w:r>
      <w:r>
        <w:rPr>
          <w:rFonts w:hint="eastAsia" w:ascii="宋体" w:hAnsi="宋体" w:cs="宋体"/>
          <w:color w:val="000000" w:themeColor="text1"/>
          <w:szCs w:val="21"/>
          <w:highlight w:val="none"/>
          <w:lang w:eastAsia="zh-CN"/>
          <w14:textFill>
            <w14:solidFill>
              <w14:schemeClr w14:val="tx1"/>
            </w14:solidFill>
          </w14:textFill>
        </w:rPr>
        <w:t>履行</w:t>
      </w:r>
      <w:r>
        <w:rPr>
          <w:rFonts w:hint="eastAsia" w:ascii="宋体" w:hAnsi="宋体" w:cs="宋体"/>
          <w:color w:val="000000" w:themeColor="text1"/>
          <w:szCs w:val="21"/>
          <w:highlight w:val="none"/>
          <w14:textFill>
            <w14:solidFill>
              <w14:schemeClr w14:val="tx1"/>
            </w14:solidFill>
          </w14:textFill>
        </w:rPr>
        <w:t>过程中形成的一切与甲方有关的资料数据和信息泄露给第三方，甲方有权单方面解除合同，并由乙方支付本合同价款的20%作为违约金。由此</w:t>
      </w:r>
      <w:r>
        <w:rPr>
          <w:rFonts w:hint="eastAsia" w:ascii="宋体" w:hAnsi="宋体" w:cs="宋体"/>
          <w:color w:val="000000" w:themeColor="text1"/>
          <w:szCs w:val="21"/>
          <w:highlight w:val="none"/>
          <w:shd w:val="clear" w:color="auto" w:fill="FFFFFF"/>
          <w14:textFill>
            <w14:solidFill>
              <w14:schemeClr w14:val="tx1"/>
            </w14:solidFill>
          </w14:textFill>
        </w:rPr>
        <w:t>给甲方造成损失的</w:t>
      </w:r>
      <w:r>
        <w:rPr>
          <w:rFonts w:hint="eastAsia" w:ascii="宋体" w:hAnsi="宋体" w:cs="宋体"/>
          <w:color w:val="000000" w:themeColor="text1"/>
          <w:szCs w:val="21"/>
          <w:highlight w:val="none"/>
          <w14:textFill>
            <w14:solidFill>
              <w14:schemeClr w14:val="tx1"/>
            </w14:solidFill>
          </w14:textFill>
        </w:rPr>
        <w:t>，乙方应负责承担由此造成的一切责任和损失。</w:t>
      </w:r>
    </w:p>
    <w:p w14:paraId="6E90158F">
      <w:pPr>
        <w:keepNext w:val="0"/>
        <w:keepLines w:val="0"/>
        <w:pageBreakBefore w:val="0"/>
        <w:wordWrap/>
        <w:overflowPunct/>
        <w:topLinePunct w:val="0"/>
        <w:bidi w:val="0"/>
        <w:spacing w:beforeAutospacing="0" w:afterAutospacing="0" w:line="360" w:lineRule="auto"/>
        <w:ind w:firstLine="42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乙方未按照合同约定或者甲方要求履行合同义务，或者在履行职务过程中出现遗漏或错误的，乙方应当在甲方确定的期限内无偿采取补救措施且不免除逾期责任，直到达到质量要求。若乙方拒绝补救或补救后仍不能达到质量要求的，甲方有权单方面解除合同。甲方解除合同后，乙方除需返还已收取的价款，向甲方支付本合同价款20%的违约金，还应赔偿甲方的全部损失。</w:t>
      </w:r>
    </w:p>
    <w:p w14:paraId="36196292">
      <w:pPr>
        <w:keepNext w:val="0"/>
        <w:keepLines w:val="0"/>
        <w:pageBreakBefore w:val="0"/>
        <w:wordWrap/>
        <w:overflowPunct/>
        <w:topLinePunct w:val="0"/>
        <w:bidi w:val="0"/>
        <w:spacing w:beforeAutospacing="0" w:afterAutospacing="0" w:line="360" w:lineRule="auto"/>
        <w:ind w:firstLine="42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乙方逾期交付合同规定的成果材料，每延误一天，应向甲方支付该阶段应收费用0.2%的逾期违约金，逾期</w:t>
      </w:r>
      <w:r>
        <w:rPr>
          <w:rFonts w:hint="eastAsia" w:ascii="宋体" w:hAnsi="宋体" w:cs="宋体"/>
          <w:color w:val="000000" w:themeColor="text1"/>
          <w:szCs w:val="21"/>
          <w:highlight w:val="none"/>
          <w:lang w:eastAsia="zh-CN"/>
          <w14:textFill>
            <w14:solidFill>
              <w14:schemeClr w14:val="tx1"/>
            </w14:solidFill>
          </w14:textFill>
        </w:rPr>
        <w:t>超过</w:t>
      </w:r>
      <w:r>
        <w:rPr>
          <w:rFonts w:hint="eastAsia" w:ascii="宋体" w:hAnsi="宋体" w:cs="宋体"/>
          <w:color w:val="000000" w:themeColor="text1"/>
          <w:szCs w:val="21"/>
          <w:highlight w:val="none"/>
          <w14:textFill>
            <w14:solidFill>
              <w14:schemeClr w14:val="tx1"/>
            </w14:solidFill>
          </w14:textFill>
        </w:rPr>
        <w:t>30天以上，甲方有权单方面解除合同。甲方解除合同后，剩余款项不再支付，乙方除需返还已收取的价款，向甲方支付本合同价款20%的违约金，还应赔偿甲方的全部损失。</w:t>
      </w:r>
    </w:p>
    <w:p w14:paraId="5D309A48">
      <w:pPr>
        <w:keepNext w:val="0"/>
        <w:keepLines w:val="0"/>
        <w:pageBreakBefore w:val="0"/>
        <w:wordWrap/>
        <w:overflowPunct/>
        <w:topLinePunct w:val="0"/>
        <w:bidi w:val="0"/>
        <w:spacing w:beforeAutospacing="0" w:afterAutospacing="0" w:line="360" w:lineRule="auto"/>
        <w:ind w:firstLine="42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5</w:t>
      </w:r>
      <w:r>
        <w:rPr>
          <w:rFonts w:hint="eastAsia" w:ascii="宋体" w:hAnsi="宋体" w:cs="宋体"/>
          <w:color w:val="000000" w:themeColor="text1"/>
          <w:szCs w:val="21"/>
          <w:highlight w:val="none"/>
          <w14:textFill>
            <w14:solidFill>
              <w14:schemeClr w14:val="tx1"/>
            </w14:solidFill>
          </w14:textFill>
        </w:rPr>
        <w:t>、甲乙双方因不可抗力不能履行合同时，应当及时通知对方，并在合理期内提供有关证明，双方可协商全部或部分免除违约方的责任。</w:t>
      </w:r>
    </w:p>
    <w:p w14:paraId="15DE3D53">
      <w:pPr>
        <w:keepNext w:val="0"/>
        <w:keepLines w:val="0"/>
        <w:pageBreakBefore w:val="0"/>
        <w:wordWrap/>
        <w:overflowPunct/>
        <w:topLinePunct w:val="0"/>
        <w:bidi w:val="0"/>
        <w:spacing w:beforeAutospacing="0" w:afterAutospacing="0" w:line="360" w:lineRule="auto"/>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第九条  不可抗力事件处理</w:t>
      </w:r>
    </w:p>
    <w:p w14:paraId="7309FC33">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1、在合同有效期内，任何一方因不可抗力事件导致不能履行合同，则合同履行期可延长，其延长期与不可抗力影响期相同。</w:t>
      </w:r>
    </w:p>
    <w:p w14:paraId="2D0BA8AD">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2、不可抗力事件发生后，应立即通知对方，并寄送有关权威机构出具的证明。</w:t>
      </w:r>
    </w:p>
    <w:p w14:paraId="0B089638">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3、不可抗力事件延续</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天以上，双方应通过友好协商，确定是否继续履行合同。 </w:t>
      </w:r>
    </w:p>
    <w:p w14:paraId="0194E655">
      <w:pPr>
        <w:keepNext w:val="0"/>
        <w:keepLines w:val="0"/>
        <w:pageBreakBefore w:val="0"/>
        <w:wordWrap/>
        <w:overflowPunct/>
        <w:topLinePunct w:val="0"/>
        <w:bidi w:val="0"/>
        <w:spacing w:beforeAutospacing="0" w:afterAutospacing="0" w:line="360" w:lineRule="auto"/>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第十条  合同的变更和终止</w:t>
      </w:r>
    </w:p>
    <w:p w14:paraId="089E5FE1">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除《中华人民共和国政府采购法》第49条、第50条第二款规定的情形外，本合同一经签订，甲乙双方不得擅自变更、中止或终止合同。</w:t>
      </w:r>
    </w:p>
    <w:p w14:paraId="650A1969">
      <w:pPr>
        <w:keepNext w:val="0"/>
        <w:keepLines w:val="0"/>
        <w:pageBreakBefore w:val="0"/>
        <w:wordWrap/>
        <w:overflowPunct/>
        <w:topLinePunct w:val="0"/>
        <w:bidi w:val="0"/>
        <w:spacing w:beforeAutospacing="0" w:afterAutospacing="0" w:line="360" w:lineRule="auto"/>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第十一条  解决合同纠纷的方式</w:t>
      </w:r>
    </w:p>
    <w:p w14:paraId="4067897A">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合同一经签订，不得随意变更、中止或终止；对确需变更、调整或者中止、终止合同的，应按规定履行相应的手续；在执行本合同中发生的或与本合同有关的争端，双方应通过友好协商解决，经协商不能达成协议时，则采取以下第</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u w:val="single"/>
          <w:lang w:val="en-US" w:eastAsia="zh-CN"/>
          <w14:textFill>
            <w14:solidFill>
              <w14:schemeClr w14:val="tx1"/>
            </w14:solidFill>
          </w14:textFill>
        </w:rPr>
        <w:t>1</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种方式解决争议：</w:t>
      </w:r>
    </w:p>
    <w:p w14:paraId="7C73BAF7">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（1）向甲方所在地有管辖权的人民法院提起诉讼；</w:t>
      </w:r>
    </w:p>
    <w:p w14:paraId="292817F8">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（2）向西安仲裁委员会按其仲裁规则申请仲裁。</w:t>
      </w:r>
    </w:p>
    <w:p w14:paraId="1303EF30">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2、在仲裁期间，除双方有争议的部分外，本合同其他部分仍然有效，各方应继续履行。</w:t>
      </w:r>
    </w:p>
    <w:p w14:paraId="3BB26C85">
      <w:pPr>
        <w:keepNext w:val="0"/>
        <w:keepLines w:val="0"/>
        <w:pageBreakBefore w:val="0"/>
        <w:wordWrap/>
        <w:overflowPunct/>
        <w:topLinePunct w:val="0"/>
        <w:bidi w:val="0"/>
        <w:spacing w:beforeAutospacing="0" w:afterAutospacing="0" w:line="360" w:lineRule="auto"/>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第十二条  附件</w:t>
      </w:r>
    </w:p>
    <w:p w14:paraId="1B9D0C44">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1、采购文件</w:t>
      </w:r>
    </w:p>
    <w:p w14:paraId="1B1876D8">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2、修改澄清文件</w:t>
      </w:r>
    </w:p>
    <w:p w14:paraId="5BB500AE">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3、响应文件</w:t>
      </w:r>
    </w:p>
    <w:p w14:paraId="47A29768">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4、成交通知书</w:t>
      </w:r>
    </w:p>
    <w:p w14:paraId="687F6FF0">
      <w:pPr>
        <w:keepNext w:val="0"/>
        <w:keepLines w:val="0"/>
        <w:pageBreakBefore w:val="0"/>
        <w:wordWrap/>
        <w:overflowPunct/>
        <w:topLinePunct w:val="0"/>
        <w:bidi w:val="0"/>
        <w:spacing w:beforeAutospacing="0" w:afterAutospacing="0" w:line="360" w:lineRule="auto"/>
        <w:ind w:firstLine="420"/>
        <w:rPr>
          <w:rFonts w:ascii="宋体" w:hAnsi="宋体" w:cs="宋体"/>
          <w:b/>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5、其他</w:t>
      </w:r>
    </w:p>
    <w:p w14:paraId="6D4C1942">
      <w:pPr>
        <w:keepNext w:val="0"/>
        <w:keepLines w:val="0"/>
        <w:pageBreakBefore w:val="0"/>
        <w:wordWrap/>
        <w:overflowPunct/>
        <w:topLinePunct w:val="0"/>
        <w:bidi w:val="0"/>
        <w:spacing w:beforeAutospacing="0" w:afterAutospacing="0" w:line="360" w:lineRule="auto"/>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第十三条  合同生效及其他</w:t>
      </w:r>
    </w:p>
    <w:p w14:paraId="137AB5A6">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1、合同经双方法定代表人或授权委托代理人签字并加盖单位公章后生效。</w:t>
      </w:r>
    </w:p>
    <w:p w14:paraId="092D2813">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2、合同执行中涉及采购资金和采购内容修改或补充的，须经政府采购监管部门审批，并</w:t>
      </w:r>
      <w:r>
        <w:rPr>
          <w:rFonts w:hint="eastAsia" w:ascii="宋体" w:hAnsi="宋体" w:cs="宋体"/>
          <w:color w:val="000000" w:themeColor="text1"/>
          <w:szCs w:val="21"/>
          <w:highlight w:val="none"/>
          <w:lang w:eastAsia="zh-CN"/>
          <w14:textFill>
            <w14:solidFill>
              <w14:schemeClr w14:val="tx1"/>
            </w14:solidFill>
          </w14:textFill>
        </w:rPr>
        <w:t>签订</w:t>
      </w:r>
      <w:r>
        <w:rPr>
          <w:rFonts w:hint="eastAsia" w:ascii="宋体" w:hAnsi="宋体" w:cs="宋体"/>
          <w:color w:val="000000" w:themeColor="text1"/>
          <w:szCs w:val="21"/>
          <w:highlight w:val="none"/>
          <w14:textFill>
            <w14:solidFill>
              <w14:schemeClr w14:val="tx1"/>
            </w14:solidFill>
          </w14:textFill>
        </w:rPr>
        <w:t>书面补充协议报政府采购监督管理部门备案，方可作为主合同不可分割的一部分。</w:t>
      </w:r>
    </w:p>
    <w:p w14:paraId="2F7F3E45">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3、本合同一式</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份，自双方签章之日起</w:t>
      </w:r>
      <w:r>
        <w:rPr>
          <w:rFonts w:hint="eastAsia" w:ascii="宋体" w:hAnsi="宋体" w:cs="宋体"/>
          <w:color w:val="000000" w:themeColor="text1"/>
          <w:szCs w:val="21"/>
          <w:highlight w:val="none"/>
          <w:lang w:eastAsia="zh-CN"/>
          <w14:textFill>
            <w14:solidFill>
              <w14:schemeClr w14:val="tx1"/>
            </w14:solidFill>
          </w14:textFill>
        </w:rPr>
        <w:t>生效</w:t>
      </w:r>
      <w:r>
        <w:rPr>
          <w:rFonts w:hint="eastAsia" w:ascii="宋体" w:hAnsi="宋体" w:cs="宋体"/>
          <w:color w:val="000000" w:themeColor="text1"/>
          <w:szCs w:val="21"/>
          <w:highlight w:val="none"/>
          <w14:textFill>
            <w14:solidFill>
              <w14:schemeClr w14:val="tx1"/>
            </w14:solidFill>
          </w14:textFill>
        </w:rPr>
        <w:t>。甲方</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份，乙方</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份，政府采购代理机构壹份，同级财政部门备案壹份，具有同等法律效力。</w:t>
      </w:r>
    </w:p>
    <w:p w14:paraId="327D045B">
      <w:pPr>
        <w:keepNext w:val="0"/>
        <w:keepLines w:val="0"/>
        <w:pageBreakBefore w:val="0"/>
        <w:wordWrap/>
        <w:overflowPunct/>
        <w:topLinePunct w:val="0"/>
        <w:bidi w:val="0"/>
        <w:spacing w:beforeAutospacing="0" w:afterAutospacing="0" w:line="360" w:lineRule="auto"/>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（以下无正文为合同签署页）</w:t>
      </w:r>
    </w:p>
    <w:p w14:paraId="54EA75CA">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甲方（盖章）：                          乙方（盖章）：                   </w:t>
      </w:r>
    </w:p>
    <w:p w14:paraId="7DD91451">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法定代表人/授权代理人                  法定代表人/授权代理人             </w:t>
      </w:r>
    </w:p>
    <w:p w14:paraId="78A8D3B2">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（签字或盖章）：                       （签字或盖章）：          </w:t>
      </w:r>
    </w:p>
    <w:p w14:paraId="66C78BFB">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地址：                                  地址：                        </w:t>
      </w:r>
    </w:p>
    <w:p w14:paraId="033E1AC0">
      <w:pPr>
        <w:keepNext w:val="0"/>
        <w:keepLines w:val="0"/>
        <w:pageBreakBefore w:val="0"/>
        <w:wordWrap/>
        <w:overflowPunct/>
        <w:topLinePunct w:val="0"/>
        <w:bidi w:val="0"/>
        <w:spacing w:beforeAutospacing="0" w:afterAutospacing="0"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电话：                                  电话：                    </w:t>
      </w:r>
    </w:p>
    <w:p w14:paraId="573E1D79">
      <w:pPr>
        <w:pStyle w:val="3"/>
        <w:keepNext w:val="0"/>
        <w:keepLines w:val="0"/>
        <w:pageBreakBefore w:val="0"/>
        <w:wordWrap/>
        <w:overflowPunct/>
        <w:topLinePunct w:val="0"/>
        <w:bidi w:val="0"/>
        <w:adjustRightInd w:val="0"/>
        <w:snapToGrid w:val="0"/>
        <w:spacing w:beforeAutospacing="0" w:afterAutospacing="0"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账户名称：                              账户名称：</w:t>
      </w:r>
    </w:p>
    <w:p w14:paraId="68DD709E">
      <w:pPr>
        <w:pStyle w:val="3"/>
        <w:keepNext w:val="0"/>
        <w:keepLines w:val="0"/>
        <w:pageBreakBefore w:val="0"/>
        <w:wordWrap/>
        <w:overflowPunct/>
        <w:topLinePunct w:val="0"/>
        <w:bidi w:val="0"/>
        <w:adjustRightInd w:val="0"/>
        <w:snapToGrid w:val="0"/>
        <w:spacing w:beforeAutospacing="0" w:afterAutospacing="0"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账户号码：                              账户号码：</w:t>
      </w:r>
    </w:p>
    <w:p w14:paraId="3F920495">
      <w:pPr>
        <w:pStyle w:val="3"/>
        <w:keepNext w:val="0"/>
        <w:keepLines w:val="0"/>
        <w:pageBreakBefore w:val="0"/>
        <w:wordWrap/>
        <w:overflowPunct/>
        <w:topLinePunct w:val="0"/>
        <w:bidi w:val="0"/>
        <w:adjustRightInd w:val="0"/>
        <w:snapToGrid w:val="0"/>
        <w:spacing w:beforeAutospacing="0" w:afterAutospacing="0"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开户银行：                              开户银行：</w:t>
      </w:r>
    </w:p>
    <w:p w14:paraId="39F5B87E">
      <w:pPr>
        <w:keepNext w:val="0"/>
        <w:keepLines w:val="0"/>
        <w:pageBreakBefore w:val="0"/>
        <w:wordWrap/>
        <w:overflowPunct/>
        <w:topLinePunct w:val="0"/>
        <w:bidi w:val="0"/>
        <w:spacing w:beforeAutospacing="0" w:afterAutospacing="0" w:line="360" w:lineRule="auto"/>
        <w:ind w:firstLine="420" w:firstLineChars="200"/>
        <w:rPr>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签约时间：                              签约时间： </w:t>
      </w:r>
    </w:p>
    <w:p w14:paraId="00790B82">
      <w:pPr>
        <w:rPr>
          <w:color w:val="000000" w:themeColor="text1"/>
          <w:highlight w:val="none"/>
          <w14:textFill>
            <w14:solidFill>
              <w14:schemeClr w14:val="tx1"/>
            </w14:solidFill>
          </w14:textFill>
        </w:rPr>
      </w:pPr>
    </w:p>
    <w:bookmarkEnd w:id="1"/>
    <w:sectPr>
      <w:pgSz w:w="11906" w:h="16838"/>
      <w:pgMar w:top="1327" w:right="1582" w:bottom="1270" w:left="163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C41504"/>
    <w:rsid w:val="60C41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0"/>
    <w:pPr>
      <w:spacing w:before="156" w:beforeLines="50" w:line="480" w:lineRule="auto"/>
      <w:ind w:firstLine="419" w:firstLineChars="149"/>
      <w:jc w:val="left"/>
    </w:pPr>
  </w:style>
  <w:style w:type="paragraph" w:styleId="3">
    <w:name w:val="Plain Text"/>
    <w:basedOn w:val="1"/>
    <w:qFormat/>
    <w:uiPriority w:val="0"/>
    <w:rPr>
      <w:rFonts w:ascii="宋体" w:hAnsi="Courier New" w:cs="Courier New"/>
      <w:szCs w:val="21"/>
    </w:rPr>
  </w:style>
  <w:style w:type="paragraph" w:styleId="4">
    <w:name w:val="Normal (Web)"/>
    <w:basedOn w:val="1"/>
    <w:qFormat/>
    <w:uiPriority w:val="99"/>
    <w:pPr>
      <w:widowControl/>
      <w:spacing w:before="100" w:beforeAutospacing="1" w:after="100" w:afterAutospacing="1"/>
      <w:jc w:val="left"/>
    </w:pPr>
    <w:rPr>
      <w:rFonts w:ascii="宋体" w:hAnsi="宋体"/>
      <w:kern w:val="0"/>
      <w:sz w:val="18"/>
      <w:szCs w:val="18"/>
    </w:rPr>
  </w:style>
  <w:style w:type="table" w:customStyle="1" w:styleId="7">
    <w:name w:val="Table Normal"/>
    <w:autoRedefine/>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8">
    <w:name w:val="Table Text"/>
    <w:basedOn w:val="1"/>
    <w:autoRedefine/>
    <w:semiHidden/>
    <w:qFormat/>
    <w:uiPriority w:val="0"/>
    <w:pPr>
      <w:kinsoku w:val="0"/>
      <w:autoSpaceDE w:val="0"/>
      <w:autoSpaceDN w:val="0"/>
      <w:adjustRightInd w:val="0"/>
      <w:snapToGrid w:val="0"/>
      <w:ind w:left="105" w:right="105" w:firstLine="200" w:firstLineChars="100"/>
      <w:jc w:val="center"/>
      <w:textAlignment w:val="baseline"/>
    </w:pPr>
    <w:rPr>
      <w:rFonts w:asciiTheme="minorEastAsia" w:hAnsiTheme="minorEastAsia" w:eastAsiaTheme="minorEastAsia"/>
      <w:snapToGrid w:val="0"/>
      <w:color w:val="FF0000"/>
      <w:kern w:val="0"/>
      <w:sz w:val="2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2025-06-03T06:58:00Z</dcterms:created>
  <dc:creator>mo·xuan</dc:creator>
  <cp:lastModifiedBy>mo·xuan</cp:lastModifiedBy>
  <dcterms:modified xsi:type="dcterms:W3CDTF">2025-06-03T07:00:33Z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A3800208CE8448809E6D451931AFA1EF_11</vt:lpwstr>
  </property>
  <property fmtid="{D5CDD505-2E9C-101B-9397-08002B2CF9AE}" pid="4" name="KSOTemplateDocerSaveRecord">
    <vt:lpwstr>eyJoZGlkIjoiYTYwNWE2MmNhNzRiMDNhMjMzYTJhNjIzZjY2YmY0MGMiLCJ1c2VySWQiOiI3OTY2NTg3ODQifQ==</vt:lpwstr>
  </property>
</Properties>
</file>