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版本号：SXWL-2025-00320250701003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环卫车辆燃料购置项目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SXWL-2025-003</w:t>
      </w:r>
      <w:r>
        <w:br/>
      </w:r>
      <w:r>
        <w:br/>
      </w:r>
      <w:r>
        <w:br/>
      </w:r>
    </w:p>
    <w:p>
      <w:pPr>
        <w:pStyle w:val="null3"/>
        <w:jc w:val="center"/>
        <w:outlineLvl w:val="2"/>
      </w:pPr>
      <w:r>
        <w:rPr>
          <w:rFonts w:ascii="仿宋_GB2312" w:hAnsi="仿宋_GB2312" w:cs="仿宋_GB2312" w:eastAsia="仿宋_GB2312"/>
          <w:sz w:val="28"/>
          <w:b/>
        </w:rPr>
        <w:t>西安市未央区环境卫生管理所</w:t>
      </w:r>
    </w:p>
    <w:p>
      <w:pPr>
        <w:pStyle w:val="null3"/>
        <w:jc w:val="center"/>
        <w:outlineLvl w:val="2"/>
      </w:pPr>
      <w:r>
        <w:rPr>
          <w:rFonts w:ascii="仿宋_GB2312" w:hAnsi="仿宋_GB2312" w:cs="仿宋_GB2312" w:eastAsia="仿宋_GB2312"/>
          <w:sz w:val="28"/>
          <w:b/>
        </w:rPr>
        <w:t>陕西旺莱项目管理有限公司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陕西旺莱项目管理有限公司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西安市未央区环境卫生管理所</w:t>
      </w:r>
      <w:r>
        <w:rPr>
          <w:rFonts w:ascii="仿宋_GB2312" w:hAnsi="仿宋_GB2312" w:cs="仿宋_GB2312" w:eastAsia="仿宋_GB2312"/>
        </w:rPr>
        <w:t>委托，拟对</w:t>
      </w:r>
      <w:r>
        <w:rPr>
          <w:rFonts w:ascii="仿宋_GB2312" w:hAnsi="仿宋_GB2312" w:cs="仿宋_GB2312" w:eastAsia="仿宋_GB2312"/>
        </w:rPr>
        <w:t>环卫车辆燃料购置项目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SXWL-2025-003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环卫车辆燃料购置项目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满足西安市未央区环境卫生管理所环卫车辆加油服务，采购的服务用油为车用0号柴油、-10号柴油，加油量约440吨（具体以实际加油量为准）。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本人身份证复印件并加盖公章；法定代表人授权他人参加投标的，须出具法定代表人授权书（附法定代表人、授权委托人身份证复印件）及授权委托人本单位证明（投标文件提交截止日前六个月内任意一个月的社保缴纳证明）；</w:t>
      </w:r>
    </w:p>
    <w:p>
      <w:pPr>
        <w:pStyle w:val="null3"/>
      </w:pPr>
      <w:r>
        <w:rPr>
          <w:rFonts w:ascii="仿宋_GB2312" w:hAnsi="仿宋_GB2312" w:cs="仿宋_GB2312" w:eastAsia="仿宋_GB2312"/>
        </w:rPr>
        <w:t>2、资格证书：投标人具备合法有效的《危险化学品经营许可证》（许可范围包含柴油）及成品油零售经营批准证书；</w:t>
      </w:r>
    </w:p>
    <w:p>
      <w:pPr>
        <w:pStyle w:val="null3"/>
      </w:pPr>
      <w:r>
        <w:rPr>
          <w:rFonts w:ascii="仿宋_GB2312" w:hAnsi="仿宋_GB2312" w:cs="仿宋_GB2312" w:eastAsia="仿宋_GB2312"/>
        </w:rPr>
        <w:t>3、信誉：投标人不得被“信用中国”（www.creditchina.gov.cn）列入重大税收违法失信主体；不得被“中国执行信息公开网”（www.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4、联合体：本项目不接受联合体投标。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西安市未央区环境卫生管理所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未央区政法巷24号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029-86281405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陕西旺莱项目管理有限公司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陕西省西安市未央区陕西省西安市未央区书香水岸小区11幢底商103号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程倩雯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18142395344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参照《国家计委关于印发&lt;招标代理服务收费管理暂行办法&gt;的通知》（计价格[2002]1980号）和国家发展和改革委员会办公厅颁发的《关于招标代理服务收费有关问题的通知》（发改办价格[2003]857号）规定标准，按照代理协议约定由中标（成交）人支付。 3、成交单位服务费交纳信息 户名：陕西旺莱项目管理有限公司 开户行：中国建设银行股份有限公司西安元朔路支行 账号：61050111769500000141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西安市未央区环境卫生管理所</w:t>
      </w:r>
      <w:r>
        <w:rPr>
          <w:rFonts w:ascii="仿宋_GB2312" w:hAnsi="仿宋_GB2312" w:cs="仿宋_GB2312" w:eastAsia="仿宋_GB2312"/>
        </w:rPr>
        <w:t>和</w:t>
      </w:r>
      <w:r>
        <w:rPr>
          <w:rFonts w:ascii="仿宋_GB2312" w:hAnsi="仿宋_GB2312" w:cs="仿宋_GB2312" w:eastAsia="仿宋_GB2312"/>
        </w:rPr>
        <w:t>陕西旺莱项目管理有限公司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西安市未央区环境卫生管理所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陕西旺莱项目管理有限公司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西安市未央区环境卫生管理所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陕西旺莱项目管理有限公司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符合国家现行标准和相应的技术规范及本项目招标文件约定。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陕西旺莱项目管理有限公司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陕西旺莱项目管理有限公司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陕西旺莱项目管理有限公司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联系人：程倩雯</w:t>
      </w:r>
    </w:p>
    <w:p>
      <w:pPr>
        <w:pStyle w:val="null3"/>
      </w:pPr>
      <w:r>
        <w:rPr>
          <w:rFonts w:ascii="仿宋_GB2312" w:hAnsi="仿宋_GB2312" w:cs="仿宋_GB2312" w:eastAsia="仿宋_GB2312"/>
        </w:rPr>
        <w:t>联系电话：18142395344</w:t>
      </w:r>
    </w:p>
    <w:p>
      <w:pPr>
        <w:pStyle w:val="null3"/>
      </w:pPr>
      <w:r>
        <w:rPr>
          <w:rFonts w:ascii="仿宋_GB2312" w:hAnsi="仿宋_GB2312" w:cs="仿宋_GB2312" w:eastAsia="仿宋_GB2312"/>
        </w:rPr>
        <w:t>地址：陕西省西安市未央区书香水岸小区11幢底商103号</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满足西安市未央区环境卫生管理所环卫车辆加油服务，采购的服务用油为车用0号柴油、-10号柴油，加油量约440吨（具体以实际加油量为准）。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环卫车辆燃料购置项目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标的名称：环卫车辆燃料购置项目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color w:val="0000FF"/>
              </w:rPr>
              <w:t>商务要求</w:t>
            </w:r>
          </w:p>
          <w:p>
            <w:pPr>
              <w:pStyle w:val="null3"/>
            </w:pPr>
            <w:r>
              <w:rPr>
                <w:rFonts w:ascii="仿宋_GB2312" w:hAnsi="仿宋_GB2312" w:cs="仿宋_GB2312" w:eastAsia="仿宋_GB2312"/>
                <w:color w:val="0000FF"/>
              </w:rPr>
              <w:t>1、交货期：自合同签订</w:t>
            </w:r>
            <w:r>
              <w:rPr>
                <w:rFonts w:ascii="仿宋_GB2312" w:hAnsi="仿宋_GB2312" w:cs="仿宋_GB2312" w:eastAsia="仿宋_GB2312"/>
                <w:color w:val="0000FF"/>
              </w:rPr>
              <w:t>之日起一年</w:t>
            </w:r>
            <w:r>
              <w:rPr>
                <w:rFonts w:ascii="仿宋_GB2312" w:hAnsi="仿宋_GB2312" w:cs="仿宋_GB2312" w:eastAsia="仿宋_GB2312"/>
                <w:color w:val="0000FF"/>
              </w:rPr>
              <w:t>。</w:t>
            </w:r>
          </w:p>
          <w:p>
            <w:pPr>
              <w:pStyle w:val="null3"/>
            </w:pPr>
            <w:r>
              <w:rPr>
                <w:rFonts w:ascii="仿宋_GB2312" w:hAnsi="仿宋_GB2312" w:cs="仿宋_GB2312" w:eastAsia="仿宋_GB2312"/>
                <w:color w:val="0000FF"/>
              </w:rPr>
              <w:t>2、油品</w:t>
            </w:r>
            <w:r>
              <w:rPr>
                <w:rFonts w:ascii="仿宋_GB2312" w:hAnsi="仿宋_GB2312" w:cs="仿宋_GB2312" w:eastAsia="仿宋_GB2312"/>
                <w:color w:val="0000FF"/>
              </w:rPr>
              <w:t>质量要求：</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w:t>
            </w:r>
            <w:r>
              <w:rPr>
                <w:rFonts w:ascii="仿宋_GB2312" w:hAnsi="仿宋_GB2312" w:cs="仿宋_GB2312" w:eastAsia="仿宋_GB2312"/>
                <w:color w:val="0000FF"/>
              </w:rPr>
              <w:t>）油品质量要符合国家强制性标准，加油设备、计量装置要符合国家强制性标准。</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w:t>
            </w:r>
            <w:r>
              <w:rPr>
                <w:rFonts w:ascii="仿宋_GB2312" w:hAnsi="仿宋_GB2312" w:cs="仿宋_GB2312" w:eastAsia="仿宋_GB2312"/>
                <w:color w:val="0000FF"/>
              </w:rPr>
              <w:t>）采购人有权对中标人所供应油品不定期不限次抽检。若经检测、鉴定，如因油品存在质量问题（以国家或者地方政府指定检测部门抽检油站油品检验结果为基准），采购人车辆使用该批次货物导致车辆损坏、故障的，中标人应承担全部维修费用和因此引起的损失</w:t>
            </w:r>
            <w:r>
              <w:rPr>
                <w:rFonts w:ascii="仿宋_GB2312" w:hAnsi="仿宋_GB2312" w:cs="仿宋_GB2312" w:eastAsia="仿宋_GB2312"/>
                <w:color w:val="0000FF"/>
              </w:rPr>
              <w:t>。</w:t>
            </w:r>
          </w:p>
          <w:p>
            <w:pPr>
              <w:pStyle w:val="null3"/>
            </w:pPr>
            <w:r>
              <w:rPr>
                <w:rFonts w:ascii="仿宋_GB2312" w:hAnsi="仿宋_GB2312" w:cs="仿宋_GB2312" w:eastAsia="仿宋_GB2312"/>
                <w:color w:val="0000FF"/>
              </w:rPr>
              <w:t>3</w:t>
            </w:r>
            <w:r>
              <w:rPr>
                <w:rFonts w:ascii="仿宋_GB2312" w:hAnsi="仿宋_GB2312" w:cs="仿宋_GB2312" w:eastAsia="仿宋_GB2312"/>
                <w:color w:val="0000FF"/>
              </w:rPr>
              <w:t>、款项结算</w:t>
            </w:r>
          </w:p>
          <w:p>
            <w:pPr>
              <w:pStyle w:val="null3"/>
            </w:pPr>
            <w:r>
              <w:rPr>
                <w:rFonts w:ascii="仿宋_GB2312" w:hAnsi="仿宋_GB2312" w:cs="仿宋_GB2312" w:eastAsia="仿宋_GB2312"/>
                <w:color w:val="0000FF"/>
              </w:rPr>
              <w:t>3</w:t>
            </w:r>
            <w:r>
              <w:rPr>
                <w:rFonts w:ascii="仿宋_GB2312" w:hAnsi="仿宋_GB2312" w:cs="仿宋_GB2312" w:eastAsia="仿宋_GB2312"/>
                <w:color w:val="0000FF"/>
              </w:rPr>
              <w:t>.1</w:t>
            </w:r>
            <w:r>
              <w:rPr>
                <w:rFonts w:ascii="仿宋_GB2312" w:hAnsi="仿宋_GB2312" w:cs="仿宋_GB2312" w:eastAsia="仿宋_GB2312"/>
                <w:color w:val="0000FF"/>
              </w:rPr>
              <w:t>计价要求</w:t>
            </w:r>
            <w:r>
              <w:rPr>
                <w:rFonts w:ascii="仿宋_GB2312" w:hAnsi="仿宋_GB2312" w:cs="仿宋_GB2312" w:eastAsia="仿宋_GB2312"/>
                <w:color w:val="0000FF"/>
              </w:rPr>
              <w:t>：</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w:t>
            </w:r>
            <w:r>
              <w:rPr>
                <w:rFonts w:ascii="仿宋_GB2312" w:hAnsi="仿宋_GB2312" w:cs="仿宋_GB2312" w:eastAsia="仿宋_GB2312"/>
                <w:color w:val="0000FF"/>
              </w:rPr>
              <w:t>服务期内招标人加油按</w:t>
            </w:r>
            <w:r>
              <w:rPr>
                <w:rFonts w:ascii="仿宋_GB2312" w:hAnsi="仿宋_GB2312" w:cs="仿宋_GB2312" w:eastAsia="仿宋_GB2312"/>
                <w:color w:val="0000FF"/>
              </w:rPr>
              <w:t>“当天的零售挂牌价×折扣”</w:t>
            </w:r>
            <w:r>
              <w:rPr>
                <w:rFonts w:ascii="仿宋_GB2312" w:hAnsi="仿宋_GB2312" w:cs="仿宋_GB2312" w:eastAsia="仿宋_GB2312"/>
                <w:color w:val="0000FF"/>
              </w:rPr>
              <w:t>和采购人进行结算，不得再另外收费。</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w:t>
            </w:r>
            <w:r>
              <w:rPr>
                <w:rFonts w:ascii="仿宋_GB2312" w:hAnsi="仿宋_GB2312" w:cs="仿宋_GB2312" w:eastAsia="仿宋_GB2312"/>
                <w:color w:val="0000FF"/>
              </w:rPr>
              <w:t>中标人在进行调整油价之前，应将调整油价通知提供给采购人，调整后价格按政府批文日期执行</w:t>
            </w:r>
            <w:r>
              <w:rPr>
                <w:rFonts w:ascii="仿宋_GB2312" w:hAnsi="仿宋_GB2312" w:cs="仿宋_GB2312" w:eastAsia="仿宋_GB2312"/>
                <w:color w:val="0000FF"/>
              </w:rPr>
              <w:t>。</w:t>
            </w:r>
          </w:p>
          <w:p>
            <w:pPr>
              <w:pStyle w:val="null3"/>
              <w:jc w:val="both"/>
            </w:pPr>
            <w:r>
              <w:rPr>
                <w:rFonts w:ascii="仿宋_GB2312" w:hAnsi="仿宋_GB2312" w:cs="仿宋_GB2312" w:eastAsia="仿宋_GB2312"/>
                <w:color w:val="0000FF"/>
              </w:rPr>
              <w:t>3</w:t>
            </w:r>
            <w:r>
              <w:rPr>
                <w:rFonts w:ascii="仿宋_GB2312" w:hAnsi="仿宋_GB2312" w:cs="仿宋_GB2312" w:eastAsia="仿宋_GB2312"/>
                <w:color w:val="0000FF"/>
              </w:rPr>
              <w:t>.2结算方式：</w:t>
            </w:r>
          </w:p>
          <w:p>
            <w:pPr>
              <w:pStyle w:val="null3"/>
              <w:numPr>
                <w:ilvl w:val="0"/>
                <w:numId w:val="1"/>
              </w:numPr>
              <w:jc w:val="both"/>
            </w:pPr>
            <w:r>
              <w:rPr>
                <w:rFonts w:ascii="仿宋_GB2312" w:hAnsi="仿宋_GB2312" w:cs="仿宋_GB2312" w:eastAsia="仿宋_GB2312"/>
                <w:color w:val="0000FF"/>
              </w:rPr>
              <w:t>采购人每月根据用油量以转账形式预付油款给中标人。中标人每月</w:t>
            </w:r>
            <w:r>
              <w:rPr>
                <w:rFonts w:ascii="仿宋_GB2312" w:hAnsi="仿宋_GB2312" w:cs="仿宋_GB2312" w:eastAsia="仿宋_GB2312"/>
                <w:color w:val="0000FF"/>
              </w:rPr>
              <w:t>10日前将开具预付油款的发票交给采购人。</w:t>
            </w:r>
          </w:p>
          <w:p>
            <w:pPr>
              <w:pStyle w:val="null3"/>
              <w:numPr>
                <w:ilvl w:val="0"/>
                <w:numId w:val="1"/>
              </w:numPr>
              <w:jc w:val="both"/>
            </w:pPr>
            <w:r>
              <w:rPr>
                <w:rFonts w:ascii="仿宋_GB2312" w:hAnsi="仿宋_GB2312" w:cs="仿宋_GB2312" w:eastAsia="仿宋_GB2312"/>
                <w:color w:val="0000FF"/>
              </w:rPr>
              <w:t>中标人按照采购人提供的车辆资料及要求办理加油</w:t>
            </w:r>
            <w:r>
              <w:rPr>
                <w:rFonts w:ascii="仿宋_GB2312" w:hAnsi="仿宋_GB2312" w:cs="仿宋_GB2312" w:eastAsia="仿宋_GB2312"/>
                <w:color w:val="0000FF"/>
              </w:rPr>
              <w:t>IC卡，使用IC卡为采购人车辆加油。IC卡按采购人资料要求设置限油品，凭密码加油，并配合采购人做好车辆加油监督管理。</w:t>
            </w:r>
          </w:p>
          <w:p>
            <w:pPr>
              <w:pStyle w:val="null3"/>
              <w:jc w:val="both"/>
            </w:pPr>
            <w:r>
              <w:rPr>
                <w:rFonts w:ascii="仿宋_GB2312" w:hAnsi="仿宋_GB2312" w:cs="仿宋_GB2312" w:eastAsia="仿宋_GB2312"/>
                <w:color w:val="0000FF"/>
              </w:rPr>
              <w:t>（</w:t>
            </w:r>
            <w:r>
              <w:rPr>
                <w:rFonts w:ascii="仿宋_GB2312" w:hAnsi="仿宋_GB2312" w:cs="仿宋_GB2312" w:eastAsia="仿宋_GB2312"/>
                <w:color w:val="0000FF"/>
              </w:rPr>
              <w:t>3</w:t>
            </w:r>
            <w:r>
              <w:rPr>
                <w:rFonts w:ascii="仿宋_GB2312" w:hAnsi="仿宋_GB2312" w:cs="仿宋_GB2312" w:eastAsia="仿宋_GB2312"/>
                <w:color w:val="0000FF"/>
              </w:rPr>
              <w:t>）中标人负责提供实际使用油料情况明细表（即：每台车辆的加油明细及汇总金额）供采购人和中标人双方确认，待双方核对一致并盖章确认。</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w:t>
            </w:r>
            <w:r>
              <w:rPr>
                <w:rFonts w:ascii="仿宋_GB2312" w:hAnsi="仿宋_GB2312" w:cs="仿宋_GB2312" w:eastAsia="仿宋_GB2312"/>
                <w:sz w:val="21"/>
                <w:color w:val="0000FF"/>
              </w:rPr>
              <w:t>）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color w:val="0000FF"/>
              </w:rPr>
              <w:t>技术要求</w:t>
            </w:r>
          </w:p>
          <w:p>
            <w:pPr>
              <w:pStyle w:val="null3"/>
            </w:pPr>
            <w:r>
              <w:rPr>
                <w:rFonts w:ascii="仿宋_GB2312" w:hAnsi="仿宋_GB2312" w:cs="仿宋_GB2312" w:eastAsia="仿宋_GB2312"/>
                <w:b/>
                <w:color w:val="0000FF"/>
              </w:rPr>
              <w:t>1.</w:t>
            </w:r>
            <w:r>
              <w:rPr>
                <w:rFonts w:ascii="仿宋_GB2312" w:hAnsi="仿宋_GB2312" w:cs="仿宋_GB2312" w:eastAsia="仿宋_GB2312"/>
                <w:b/>
                <w:color w:val="0000FF"/>
              </w:rPr>
              <w:t>公务用车进入加油站加油，均能受到良好的加油服务。</w:t>
            </w:r>
          </w:p>
          <w:p>
            <w:pPr>
              <w:pStyle w:val="null3"/>
            </w:pPr>
            <w:r>
              <w:rPr>
                <w:rFonts w:ascii="仿宋_GB2312" w:hAnsi="仿宋_GB2312" w:cs="仿宋_GB2312" w:eastAsia="仿宋_GB2312"/>
                <w:b/>
                <w:color w:val="0000FF"/>
              </w:rPr>
              <w:t>2.</w:t>
            </w:r>
            <w:r>
              <w:rPr>
                <w:rFonts w:ascii="仿宋_GB2312" w:hAnsi="仿宋_GB2312" w:cs="仿宋_GB2312" w:eastAsia="仿宋_GB2312"/>
                <w:b/>
                <w:color w:val="0000FF"/>
              </w:rPr>
              <w:t>保证上述车辆加油时场地畅通，做到加油及时。</w:t>
            </w:r>
          </w:p>
          <w:p>
            <w:pPr>
              <w:pStyle w:val="null3"/>
            </w:pPr>
            <w:r>
              <w:rPr>
                <w:rFonts w:ascii="仿宋_GB2312" w:hAnsi="仿宋_GB2312" w:cs="仿宋_GB2312" w:eastAsia="仿宋_GB2312"/>
                <w:b/>
                <w:color w:val="0000FF"/>
              </w:rPr>
              <w:t>3.</w:t>
            </w:r>
            <w:r>
              <w:rPr>
                <w:rFonts w:ascii="仿宋_GB2312" w:hAnsi="仿宋_GB2312" w:cs="仿宋_GB2312" w:eastAsia="仿宋_GB2312"/>
                <w:b/>
                <w:color w:val="0000FF"/>
              </w:rPr>
              <w:t>所有加油操作人员能文明用语，礼貌对待车辆驾驶员。</w:t>
            </w:r>
          </w:p>
          <w:p>
            <w:pPr>
              <w:pStyle w:val="null3"/>
            </w:pPr>
            <w:r>
              <w:rPr>
                <w:rFonts w:ascii="仿宋_GB2312" w:hAnsi="仿宋_GB2312" w:cs="仿宋_GB2312" w:eastAsia="仿宋_GB2312"/>
                <w:b/>
                <w:color w:val="0000FF"/>
              </w:rPr>
              <w:t>4.</w:t>
            </w:r>
            <w:r>
              <w:rPr>
                <w:rFonts w:ascii="仿宋_GB2312" w:hAnsi="仿宋_GB2312" w:cs="仿宋_GB2312" w:eastAsia="仿宋_GB2312"/>
                <w:b/>
                <w:color w:val="0000FF"/>
              </w:rPr>
              <w:t>认真做好对加油员的监督，保证一车一卡加油，不允许用容器加油。</w:t>
            </w:r>
          </w:p>
          <w:p>
            <w:pPr>
              <w:pStyle w:val="null3"/>
            </w:pPr>
            <w:r>
              <w:rPr>
                <w:rFonts w:ascii="仿宋_GB2312" w:hAnsi="仿宋_GB2312" w:cs="仿宋_GB2312" w:eastAsia="仿宋_GB2312"/>
                <w:b/>
                <w:color w:val="0000FF"/>
              </w:rPr>
              <w:t>5.</w:t>
            </w:r>
            <w:r>
              <w:rPr>
                <w:rFonts w:ascii="仿宋_GB2312" w:hAnsi="仿宋_GB2312" w:cs="仿宋_GB2312" w:eastAsia="仿宋_GB2312"/>
                <w:b/>
                <w:color w:val="0000FF"/>
              </w:rPr>
              <w:t>不因用户车辆的多少而采取不同的态度。</w:t>
            </w:r>
          </w:p>
          <w:p>
            <w:pPr>
              <w:pStyle w:val="null3"/>
            </w:pPr>
            <w:r>
              <w:rPr>
                <w:rFonts w:ascii="仿宋_GB2312" w:hAnsi="仿宋_GB2312" w:cs="仿宋_GB2312" w:eastAsia="仿宋_GB2312"/>
                <w:b/>
                <w:color w:val="0000FF"/>
              </w:rPr>
              <w:t>6.</w:t>
            </w:r>
            <w:r>
              <w:rPr>
                <w:rFonts w:ascii="仿宋_GB2312" w:hAnsi="仿宋_GB2312" w:cs="仿宋_GB2312" w:eastAsia="仿宋_GB2312"/>
                <w:b/>
                <w:color w:val="0000FF"/>
              </w:rPr>
              <w:t>如发生成品油供不应求的情况时，优先提供加油服务，确保环卫生产作业。</w:t>
            </w:r>
          </w:p>
          <w:p>
            <w:pPr>
              <w:pStyle w:val="null3"/>
            </w:pPr>
            <w:r>
              <w:rPr>
                <w:rFonts w:ascii="仿宋_GB2312" w:hAnsi="仿宋_GB2312" w:cs="仿宋_GB2312" w:eastAsia="仿宋_GB2312"/>
                <w:b/>
                <w:color w:val="0000FF"/>
              </w:rPr>
              <w:t>7.</w:t>
            </w:r>
            <w:r>
              <w:rPr>
                <w:rFonts w:ascii="仿宋_GB2312" w:hAnsi="仿宋_GB2312" w:cs="仿宋_GB2312" w:eastAsia="仿宋_GB2312"/>
                <w:b/>
                <w:color w:val="0000FF"/>
              </w:rPr>
              <w:t>中标人提供的油品数量必须保证每天都能满足采购人的需求，特别是油品紧缺时也要力争保证采购人每天的正常需要（在同等条件下优先</w:t>
            </w:r>
            <w:r>
              <w:rPr>
                <w:rFonts w:ascii="仿宋_GB2312" w:hAnsi="仿宋_GB2312" w:cs="仿宋_GB2312" w:eastAsia="仿宋_GB2312"/>
                <w:b/>
                <w:color w:val="0000FF"/>
              </w:rPr>
              <w:t>）</w:t>
            </w:r>
            <w:r>
              <w:rPr>
                <w:rFonts w:ascii="仿宋_GB2312" w:hAnsi="仿宋_GB2312" w:cs="仿宋_GB2312" w:eastAsia="仿宋_GB2312"/>
                <w:b/>
                <w:color w:val="0000FF"/>
              </w:rPr>
              <w:t>。</w:t>
            </w:r>
          </w:p>
          <w:p>
            <w:pPr>
              <w:pStyle w:val="null3"/>
            </w:pPr>
            <w:r>
              <w:rPr>
                <w:rFonts w:ascii="仿宋_GB2312" w:hAnsi="仿宋_GB2312" w:cs="仿宋_GB2312" w:eastAsia="仿宋_GB2312"/>
                <w:b/>
                <w:color w:val="0000FF"/>
              </w:rPr>
              <w:t>8.</w:t>
            </w:r>
            <w:r>
              <w:rPr>
                <w:rFonts w:ascii="仿宋_GB2312" w:hAnsi="仿宋_GB2312" w:cs="仿宋_GB2312" w:eastAsia="仿宋_GB2312"/>
                <w:b/>
                <w:color w:val="0000FF"/>
              </w:rPr>
              <w:t>中标人不得在未经双方协商一致的情况下将中标业务转让给他人或者单位。</w:t>
            </w:r>
          </w:p>
          <w:p>
            <w:pPr>
              <w:pStyle w:val="null3"/>
            </w:pPr>
            <w:r>
              <w:rPr>
                <w:rFonts w:ascii="仿宋_GB2312" w:hAnsi="仿宋_GB2312" w:cs="仿宋_GB2312" w:eastAsia="仿宋_GB2312"/>
                <w:b/>
                <w:color w:val="0000FF"/>
              </w:rPr>
              <w:t>9.</w:t>
            </w:r>
            <w:r>
              <w:rPr>
                <w:rFonts w:ascii="仿宋_GB2312" w:hAnsi="仿宋_GB2312" w:cs="仿宋_GB2312" w:eastAsia="仿宋_GB2312"/>
                <w:b/>
                <w:color w:val="0000FF"/>
              </w:rPr>
              <w:t>中标人所提供的货物或服务质量标准按照国家标准、行业标准，上述标准不一致的，以严格或最新的标准为准。没有国家标准、行业标准的，按照通常标准或者符合合同特定标准确定。</w:t>
            </w:r>
          </w:p>
          <w:p>
            <w:pPr>
              <w:pStyle w:val="null3"/>
            </w:pPr>
            <w:r>
              <w:rPr>
                <w:rFonts w:ascii="仿宋_GB2312" w:hAnsi="仿宋_GB2312" w:cs="仿宋_GB2312" w:eastAsia="仿宋_GB2312"/>
                <w:b/>
                <w:color w:val="0000FF"/>
              </w:rPr>
              <w:t>10.</w:t>
            </w:r>
            <w:r>
              <w:rPr>
                <w:rFonts w:ascii="仿宋_GB2312" w:hAnsi="仿宋_GB2312" w:cs="仿宋_GB2312" w:eastAsia="仿宋_GB2312"/>
                <w:b/>
                <w:color w:val="0000FF"/>
              </w:rPr>
              <w:t>服务安全：自合同签订之日起，至服务期结束或总预算金额执行完为止：</w:t>
            </w:r>
            <w:r>
              <w:rPr>
                <w:rFonts w:ascii="仿宋_GB2312" w:hAnsi="仿宋_GB2312" w:cs="仿宋_GB2312" w:eastAsia="仿宋_GB2312"/>
                <w:b/>
                <w:color w:val="0000FF"/>
              </w:rPr>
              <w:t>投标人</w:t>
            </w:r>
            <w:r>
              <w:rPr>
                <w:rFonts w:ascii="仿宋_GB2312" w:hAnsi="仿宋_GB2312" w:cs="仿宋_GB2312" w:eastAsia="仿宋_GB2312"/>
                <w:b/>
                <w:color w:val="0000FF"/>
              </w:rPr>
              <w:t>负责对本公司所有服务人员进行安全教育，如发生任何意外或事故，</w:t>
            </w:r>
            <w:r>
              <w:rPr>
                <w:rFonts w:ascii="仿宋_GB2312" w:hAnsi="仿宋_GB2312" w:cs="仿宋_GB2312" w:eastAsia="仿宋_GB2312"/>
                <w:b/>
                <w:color w:val="0000FF"/>
              </w:rPr>
              <w:t>投标人</w:t>
            </w:r>
            <w:r>
              <w:rPr>
                <w:rFonts w:ascii="仿宋_GB2312" w:hAnsi="仿宋_GB2312" w:cs="仿宋_GB2312" w:eastAsia="仿宋_GB2312"/>
                <w:b/>
                <w:color w:val="0000FF"/>
              </w:rPr>
              <w:t>承担全部医疗费用、法律责任、经济赔偿。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3.1计价要求： （1）服务期内招标人加油按“当天的零售挂牌价×折扣”和采购人进行结算，不得再另外收费。 （2）中标人在进行调整油价之前，应将调整油价通知提供给采购人，调整后价格按政府批文日期执行。 3.2结算方式： （1）采购人每月根据用油量以转账形式预付油款给中标人。中标人每月10日前将开具预付油款的发票交给采购人。 （2）中标人按照采购人提供的车辆资料及要求办理加油IC卡，使用IC卡为采购人车辆加油。IC卡按采购人资料要求设置限油品，凭密码加油，并配合采购人做好车辆加油监督管理。 （3）中标人负责提供实际使用油料情况明细表（即：每台车辆的加油明细及汇总金额）供采购人和中标人双方确认，待双方核对一致并盖章确认。 （4）中标人根据采购人预付油款情况开具普通发票，如采购人需要变更税票类型，提前以书面形式（盖单位公章）通知中标人。经确认后的书面通知作为合同补充附件。优惠部分的金额在双方结算确认后，由中标人直接将该金额按采购人要求充入油卡继续用于加油，但中标人不再计算该部分加油优惠和开具该部分款项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油品质量要符合国家强制性标准，加油设备、计量装置要符合国家强制性标准。验收方法：采购人有权对中标人所供应油品不定期不限次抽检。若经检测、鉴定，如因油品存在质量问题（以国家或者地方政府指定检测部门抽检油站油品检验结果为基准），采购人车辆使用该批次货物导致车辆损坏、故障的，中标人应承担全部维修费用和因此引起的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投标人不能履行合同中规定的各项承诺，采购人有权报请监管部门终止合同，由此造成的损失由投标人承担。 一、违约责任： 1、按《民法典》中的相关条款执行。 2、除本合同约定，合同一经签订，不得擅自变更、中止或者终止合同。对确需变更、调整或者中止、终止合同的，应按规定履行相应的手续。 3、任何一方因不可抗力原因不能履行协议时，应尽快通知对方，双方均设法补偿。如仍无法履约协议，可协商延缓或撤销协议，双方责任免除。 二、解决争议的方法：本合同在履行过程中发生的争议，由甲、乙双方当事人协商解决，协商不成的按下列第2种方式解决： 1、提交当地仲裁委员会仲裁； 2、依法向甲方所在地人民法院起诉。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单位在领取中标通知书前，须向采购代理机构提供纸质版投标文件3套（1正2副），U盘2份（U盘需包括系统生成的全部已签章投标文件（PDF格式）、U盘标明中标单位名称。）且提供的投标文件必须与在陕西省政府采购综合管理平台的项目电子化交易系统中提交的电子投标文件内容一致，纸质版投标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1.在中华人民共和国境内注册，依法取得并有效存续的营业执照（含电子营业执照）\事业单位法人证书\民办非企业单位登记证书\非企业专业服务机构执业许可证等； 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招标文件第六章投标文件格式。 不提供《基本资格条件承诺函》的供应商需提交如下资格证明文件：①财务状况报告：提供具有经审计资质单位出具的2024年度的财务审计报告，成立时间至提交投标文件截止时间不足一年的可提供成立后任意时段的资产负债表；或其首次投标文件递交截止前前六个月内基本存款账户开户银行出具的资信证明。（以上两种形式的资料提供任何一种即可）；②提供首次投标文件递交截止时间前六个月内任意时段的纳税证明或完税证明（除印花税外任意税种），纳税证明或完税证明上应有代收机构或税务机关的公章或业务专用章。依法免税的供应商应提供相关文件证明；③提供首次投标文件递交截止时间前六个月内任意时段的社会保障资金缴存单据或社保机构开具的社会保险参保缴费情况证明，依法不需要缴纳社会保障资金的单位应提供相关证明材料；④提供具有履行合同所必需的设备和专业技术能力的承诺；⑤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投标人应提交的相关资格证明材料.docx 投标函 商务和技术响应文件.docx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投标人应提交的相关资格证明材料.docx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中小企业声明函 残疾人福利性单位声明函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并加盖公章；法定代表人授权他人参加投标的，须出具法定代表人授权书（附法定代表人、授权委托人身份证复印件）及授权委托人本单位证明（投标文件提交截止日前六个月内任意一个月的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投标人具备合法有效的《危险化学品经营许可证》（许可范围包含柴油）及成品油零售经营批准证书；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被“信用中国”（www.creditchina.gov.cn）列入重大税收违法失信主体；不得被“中国执行信息公开网”（www.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本项目为非专门面向中小企业采购；供应商为中小企业的须提供《中小企业声明函》并为其真实性负责；供应商需在项目电子化交易系统中按要求上传相应证明文件并进行电子签章。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投标人应提交的相关资格证明材料.docx 投标函 商务和技术响应文件.docx 中小企业声明函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（3）法定代表人授权委托书</w:t>
            </w:r>
          </w:p>
        </w:tc>
        <w:tc>
          <w:tcPr>
            <w:tcW w:type="dxa" w:w="1661"/>
          </w:tcPr>
          <w:p>
            <w:pPr>
              <w:pStyle w:val="null3"/>
            </w:pPr>
            <w:r>
              <w:rPr>
                <w:rFonts w:ascii="仿宋_GB2312" w:hAnsi="仿宋_GB2312" w:cs="仿宋_GB2312" w:eastAsia="仿宋_GB2312"/>
              </w:rPr>
              <w:t>开标一览表 投标人应提交的相关资格证明材料.docx 投标函 商务和技术响应文件.docx 中小企业声明函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开标一览表 投标人应提交的相关资格证明材料.docx 投标函 商务和技术响应文件.docx 中小企业声明函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符合招标文件的要求（自提交投标文件的截止之日起90个日历日）</w:t>
            </w:r>
          </w:p>
        </w:tc>
        <w:tc>
          <w:tcPr>
            <w:tcW w:type="dxa" w:w="1661"/>
          </w:tcPr>
          <w:p>
            <w:pPr>
              <w:pStyle w:val="null3"/>
            </w:pPr>
            <w:r>
              <w:rPr>
                <w:rFonts w:ascii="仿宋_GB2312" w:hAnsi="仿宋_GB2312" w:cs="仿宋_GB2312" w:eastAsia="仿宋_GB2312"/>
              </w:rPr>
              <w:t>开标一览表 投标人应提交的相关资格证明材料.docx 投标函 商务和技术响应文件.docx 中小企业声明函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同时满足以下条款：（1）货币单位符合招标文件要求（2）报价符合唯一性要求（3）未超出采购预算或最高限价（4）符合招标文件的填报要求</w:t>
            </w:r>
          </w:p>
        </w:tc>
        <w:tc>
          <w:tcPr>
            <w:tcW w:type="dxa" w:w="1661"/>
          </w:tcPr>
          <w:p>
            <w:pPr>
              <w:pStyle w:val="null3"/>
            </w:pPr>
            <w:r>
              <w:rPr>
                <w:rFonts w:ascii="仿宋_GB2312" w:hAnsi="仿宋_GB2312" w:cs="仿宋_GB2312" w:eastAsia="仿宋_GB2312"/>
              </w:rPr>
              <w:t>开标一览表 投标人应提交的相关资格证明材料.docx 投标函 商务和技术响应文件.docx 中小企业声明函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w:t>
            </w:r>
          </w:p>
        </w:tc>
        <w:tc>
          <w:tcPr>
            <w:tcW w:type="dxa" w:w="1661"/>
          </w:tcPr>
          <w:p>
            <w:pPr>
              <w:pStyle w:val="null3"/>
            </w:pPr>
            <w:r>
              <w:rPr>
                <w:rFonts w:ascii="仿宋_GB2312" w:hAnsi="仿宋_GB2312" w:cs="仿宋_GB2312" w:eastAsia="仿宋_GB2312"/>
              </w:rPr>
              <w:t>开标一览表 投标人应提交的相关资格证明材料.docx 投标函 商务和技术响应文件.docx 中小企业声明函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投标人应提交的相关资格证明材料.docx 投标函 商务和技术响应文件.docx 中小企业声明函 残疾人福利性单位声明函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评审内容：投标人针对本项目的重点及难点作出服务方案，包括但不限于：服务管理方案，安全保障方案，详细完整的加油台账，保证加油服务工作的规范性措施，加油站点的设置的合理性等。 服务方案内容完整详细，条例清楚，设置合理。能完全满足采购人的需求，有效保障本项目的实施，得30分。 未提供服务方案不得分。 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每有一项缺项扣6分。每有一项缺项扣2分，每有一项内容存在缺陷扣1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商务和技术响应文件.docx</w:t>
            </w:r>
          </w:p>
        </w:tc>
      </w:tr>
      <w:tr>
        <w:tc>
          <w:tcPr>
            <w:tcW w:type="dxa" w:w="831"/>
            <w:vMerge/>
          </w:tcPr>
          <w:p/>
        </w:tc>
        <w:tc>
          <w:tcPr>
            <w:tcW w:type="dxa" w:w="1661"/>
          </w:tcPr>
          <w:p>
            <w:pPr>
              <w:pStyle w:val="null3"/>
            </w:pPr>
            <w:r>
              <w:rPr>
                <w:rFonts w:ascii="仿宋_GB2312" w:hAnsi="仿宋_GB2312" w:cs="仿宋_GB2312" w:eastAsia="仿宋_GB2312"/>
              </w:rPr>
              <w:t>油品质量保证</w:t>
            </w:r>
          </w:p>
        </w:tc>
        <w:tc>
          <w:tcPr>
            <w:tcW w:type="dxa" w:w="2492"/>
          </w:tcPr>
          <w:p>
            <w:pPr>
              <w:pStyle w:val="null3"/>
            </w:pPr>
            <w:r>
              <w:rPr>
                <w:rFonts w:ascii="仿宋_GB2312" w:hAnsi="仿宋_GB2312" w:cs="仿宋_GB2312" w:eastAsia="仿宋_GB2312"/>
              </w:rPr>
              <w:t>根据投标人提供的质量保证措施进行评审，具体内容包括但不限于：质量管理体系、质量计划、质量控制、质量检验标准，油源渠道等内容。 对项目的质量保证措施内容全面、可行性强，能有效保障本项目实施得10分。 未提供不得分。 评审内容有缺陷（缺陷是指：内容不合理、虽有内容但不完善、内容表述前后不一致、套用其他项目方案或与项目需求不匹配及其他不利于项目实施的等任意一种情形。每有一项缺项扣2分，每有一项内容存在缺陷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商务和技术响应文件.docx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结合本项目实际应用、设置合理的人员配置。包括但不限于：设有项目组织管理机构，人员培训计划，有完善的岗位制度和岗位职责等内容。 人员安排合理、分工明确，可操作性强，得5分； 未提供不得分。 评审内容有缺陷（缺陷是指：人员配备不足、岗位设置逻辑混乱、描述过于简单、与项目特点不匹配、凭空编造、逻辑漏洞、出现常识性错误、套用其他项目方案、存在不可能实现的夸大情形、存在不适用项目实际情况的情形或只有标题没有实质性内容。每有一项缺项扣1分，每有一项内容存在缺陷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商务和技术响应文件.docx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针对本项目采购需求及项目实际情况，提供的服务承诺及保障措施。包括但不限于：应急响应时效、及时提供发票、售后服务承诺等。 服务承诺具体、可行，保障措施详细，得5分； 未提供不得分。 评审内容任意一项中有缺陷（缺陷是指：内容简单、与项目特点不匹配、套用其他项目相关内容或存在不适用项目实际情况的情形。每有一项缺项扣1分，每有一项内容存在缺陷扣0.5分。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商务和技术响应文件.docx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提供2022年06月至今类似项目业绩，每份得1分,最高得5分； 不提供得0分。 （以合同签订时间为准，附有业绩合同复印件加盖公章作为证明材料）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商务和技术响应文件.docx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满足招标文件要求且最后报价最低的投标人的价格为评审基准价，其价格分为满分。其他投标人的价格分统一按照下列公式计算：评标报价得分=（评审基准价/投标报价）×45。 注：中小企业参加政府采购活动，应当出具本办法规定的《中小企业声明函》（见附件），符合本办法规定的小微企业报价给予10%的扣除，用扣除后的价格参加评审。</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详见附件：商务和技术响应文件.docx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