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F65F7">
      <w:pPr>
        <w:spacing w:before="156" w:beforeLines="50" w:line="360" w:lineRule="auto"/>
        <w:jc w:val="center"/>
        <w:outlineLvl w:val="0"/>
        <w:rPr>
          <w:rFonts w:ascii="宋体" w:hAnsi="宋体" w:cs="宋体"/>
          <w:b/>
          <w:color w:val="000000" w:themeColor="text1"/>
          <w:spacing w:val="6"/>
          <w:sz w:val="36"/>
          <w:szCs w:val="36"/>
          <w14:textFill>
            <w14:solidFill>
              <w14:schemeClr w14:val="tx1"/>
            </w14:solidFill>
          </w14:textFill>
        </w:rPr>
      </w:pPr>
      <w:r>
        <w:rPr>
          <w:rFonts w:hint="eastAsia" w:ascii="宋体" w:hAnsi="宋体" w:cs="宋体"/>
          <w:b/>
          <w:color w:val="000000" w:themeColor="text1"/>
          <w:spacing w:val="6"/>
          <w:sz w:val="36"/>
          <w:szCs w:val="36"/>
          <w14:textFill>
            <w14:solidFill>
              <w14:schemeClr w14:val="tx1"/>
            </w14:solidFill>
          </w14:textFill>
        </w:rPr>
        <w:t>拟签订采购合同文本</w:t>
      </w:r>
    </w:p>
    <w:p w14:paraId="4C4B540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14D18EB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0F123FC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02A6C7CB">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宋体" w:cs="宋体"/>
          <w:b/>
          <w:bCs/>
          <w:sz w:val="40"/>
          <w:szCs w:val="48"/>
          <w:lang w:val="en-US" w:eastAsia="zh-CN"/>
        </w:rPr>
      </w:pPr>
      <w:r>
        <w:rPr>
          <w:rFonts w:hint="eastAsia" w:ascii="Times New Roman" w:hAnsi="Times New Roman" w:eastAsia="宋体" w:cs="宋体"/>
          <w:b/>
          <w:bCs/>
          <w:sz w:val="40"/>
          <w:szCs w:val="48"/>
          <w:lang w:val="en-US" w:eastAsia="zh-CN"/>
        </w:rPr>
        <w:t>西安市未央区环境卫生管理所环卫车辆</w:t>
      </w:r>
    </w:p>
    <w:p w14:paraId="0EE87018">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textAlignment w:val="auto"/>
        <w:outlineLvl w:val="9"/>
        <w:rPr>
          <w:rFonts w:hint="eastAsia" w:ascii="Times New Roman" w:hAnsi="Times New Roman" w:eastAsia="宋体" w:cs="宋体"/>
          <w:b/>
          <w:bCs/>
          <w:sz w:val="40"/>
          <w:szCs w:val="48"/>
          <w:lang w:val="en-US" w:eastAsia="zh-CN"/>
        </w:rPr>
      </w:pPr>
    </w:p>
    <w:p w14:paraId="3B27B582">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宋体" w:cs="宋体"/>
          <w:b/>
          <w:bCs/>
          <w:sz w:val="40"/>
          <w:szCs w:val="48"/>
          <w:lang w:val="en-US" w:eastAsia="zh-CN"/>
        </w:rPr>
      </w:pPr>
      <w:r>
        <w:rPr>
          <w:rFonts w:hint="eastAsia" w:ascii="Times New Roman" w:hAnsi="Times New Roman" w:eastAsia="宋体" w:cs="宋体"/>
          <w:b/>
          <w:bCs/>
          <w:sz w:val="40"/>
          <w:szCs w:val="48"/>
          <w:lang w:val="en-US" w:eastAsia="zh-CN"/>
        </w:rPr>
        <w:t>燃料购置项目</w:t>
      </w:r>
    </w:p>
    <w:p w14:paraId="6293A8B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138DEE1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4DBFA294">
      <w:pPr>
        <w:keepNext w:val="0"/>
        <w:keepLines w:val="0"/>
        <w:pageBreakBefore w:val="0"/>
        <w:widowControl w:val="0"/>
        <w:kinsoku/>
        <w:wordWrap/>
        <w:overflowPunct/>
        <w:topLinePunct w:val="0"/>
        <w:autoSpaceDE/>
        <w:autoSpaceDN/>
        <w:bidi w:val="0"/>
        <w:adjustRightInd/>
        <w:snapToGrid/>
        <w:spacing w:line="480" w:lineRule="exact"/>
        <w:ind w:firstLine="964" w:firstLineChars="200"/>
        <w:jc w:val="center"/>
        <w:textAlignment w:val="auto"/>
        <w:outlineLvl w:val="9"/>
        <w:rPr>
          <w:rFonts w:hint="eastAsia" w:ascii="Times New Roman" w:hAnsi="Times New Roman" w:eastAsia="宋体" w:cs="宋体"/>
          <w:b/>
          <w:bCs/>
          <w:sz w:val="48"/>
          <w:szCs w:val="56"/>
          <w:lang w:val="en-US" w:eastAsia="zh-CN"/>
        </w:rPr>
      </w:pPr>
    </w:p>
    <w:p w14:paraId="114EEB27">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textAlignment w:val="auto"/>
        <w:outlineLvl w:val="9"/>
        <w:rPr>
          <w:rFonts w:hint="eastAsia" w:ascii="Times New Roman" w:hAnsi="Times New Roman" w:eastAsia="宋体" w:cs="宋体"/>
          <w:b/>
          <w:bCs/>
          <w:sz w:val="48"/>
          <w:szCs w:val="56"/>
          <w:lang w:val="en-US" w:eastAsia="zh-CN"/>
        </w:rPr>
      </w:pPr>
    </w:p>
    <w:p w14:paraId="6BC765BC">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宋体" w:cs="宋体"/>
          <w:b/>
          <w:bCs/>
          <w:sz w:val="48"/>
          <w:szCs w:val="56"/>
          <w:lang w:val="en-US" w:eastAsia="zh-CN"/>
        </w:rPr>
      </w:pPr>
      <w:r>
        <w:rPr>
          <w:rFonts w:hint="eastAsia" w:ascii="Times New Roman" w:hAnsi="Times New Roman" w:eastAsia="宋体" w:cs="宋体"/>
          <w:b/>
          <w:bCs/>
          <w:sz w:val="48"/>
          <w:szCs w:val="56"/>
          <w:lang w:val="en-US" w:eastAsia="zh-CN"/>
        </w:rPr>
        <w:t>合同</w:t>
      </w:r>
    </w:p>
    <w:p w14:paraId="2F0E0F2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2E9A4724">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Times New Roman" w:hAnsi="Times New Roman" w:eastAsia="宋体" w:cs="宋体"/>
          <w:b/>
          <w:bCs/>
          <w:sz w:val="24"/>
          <w:szCs w:val="32"/>
          <w:lang w:val="en-US" w:eastAsia="zh-CN"/>
        </w:rPr>
      </w:pPr>
    </w:p>
    <w:p w14:paraId="6E707034">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Times New Roman" w:hAnsi="Times New Roman" w:eastAsia="宋体" w:cs="宋体"/>
          <w:b/>
          <w:bCs/>
          <w:sz w:val="24"/>
          <w:szCs w:val="32"/>
          <w:lang w:val="en-US" w:eastAsia="zh-CN"/>
        </w:rPr>
      </w:pPr>
    </w:p>
    <w:p w14:paraId="71DCFFA3">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Times New Roman" w:hAnsi="Times New Roman" w:eastAsia="宋体" w:cs="宋体"/>
          <w:b/>
          <w:bCs/>
          <w:sz w:val="24"/>
          <w:szCs w:val="32"/>
          <w:lang w:val="en-US" w:eastAsia="zh-CN"/>
        </w:rPr>
      </w:pPr>
    </w:p>
    <w:p w14:paraId="301D834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Times New Roman" w:hAnsi="Times New Roman" w:eastAsia="宋体" w:cs="宋体"/>
          <w:b/>
          <w:bCs/>
          <w:sz w:val="24"/>
          <w:szCs w:val="32"/>
          <w:lang w:val="en-US" w:eastAsia="zh-CN"/>
        </w:rPr>
      </w:pPr>
    </w:p>
    <w:p w14:paraId="571FD14D">
      <w:pPr>
        <w:keepNext w:val="0"/>
        <w:keepLines w:val="0"/>
        <w:pageBreakBefore w:val="0"/>
        <w:widowControl w:val="0"/>
        <w:kinsoku/>
        <w:wordWrap/>
        <w:overflowPunct/>
        <w:topLinePunct w:val="0"/>
        <w:autoSpaceDE/>
        <w:autoSpaceDN/>
        <w:bidi w:val="0"/>
        <w:adjustRightInd/>
        <w:snapToGrid/>
        <w:spacing w:line="480" w:lineRule="auto"/>
        <w:ind w:leftChars="600"/>
        <w:textAlignment w:val="auto"/>
        <w:outlineLvl w:val="9"/>
        <w:rPr>
          <w:rFonts w:hint="default" w:ascii="Times New Roman" w:hAnsi="Times New Roman" w:eastAsia="宋体" w:cs="宋体"/>
          <w:b/>
          <w:bCs/>
          <w:sz w:val="32"/>
          <w:szCs w:val="40"/>
          <w:lang w:val="en-US" w:eastAsia="zh-CN"/>
        </w:rPr>
      </w:pPr>
      <w:r>
        <w:rPr>
          <w:rFonts w:hint="eastAsia" w:ascii="Times New Roman" w:hAnsi="Times New Roman" w:eastAsia="宋体" w:cs="宋体"/>
          <w:b/>
          <w:bCs/>
          <w:sz w:val="32"/>
          <w:szCs w:val="40"/>
          <w:lang w:val="en-US" w:eastAsia="zh-CN"/>
        </w:rPr>
        <w:t>合同编号：</w:t>
      </w:r>
      <w:r>
        <w:rPr>
          <w:rFonts w:hint="eastAsia" w:ascii="Times New Roman" w:hAnsi="Times New Roman" w:eastAsia="宋体" w:cs="宋体"/>
          <w:b/>
          <w:bCs/>
          <w:sz w:val="32"/>
          <w:szCs w:val="40"/>
          <w:u w:val="single"/>
          <w:lang w:val="en-US" w:eastAsia="zh-CN"/>
        </w:rPr>
        <w:t xml:space="preserve">                          </w:t>
      </w:r>
    </w:p>
    <w:p w14:paraId="6AD873DF">
      <w:pPr>
        <w:keepNext w:val="0"/>
        <w:keepLines w:val="0"/>
        <w:pageBreakBefore w:val="0"/>
        <w:widowControl w:val="0"/>
        <w:kinsoku/>
        <w:wordWrap/>
        <w:overflowPunct/>
        <w:topLinePunct w:val="0"/>
        <w:autoSpaceDE/>
        <w:autoSpaceDN/>
        <w:bidi w:val="0"/>
        <w:adjustRightInd/>
        <w:snapToGrid/>
        <w:spacing w:line="480" w:lineRule="auto"/>
        <w:ind w:leftChars="600"/>
        <w:textAlignment w:val="auto"/>
        <w:outlineLvl w:val="9"/>
        <w:rPr>
          <w:rFonts w:hint="default" w:ascii="Times New Roman" w:hAnsi="Times New Roman" w:eastAsia="宋体" w:cs="宋体"/>
          <w:b/>
          <w:bCs/>
          <w:sz w:val="32"/>
          <w:szCs w:val="40"/>
          <w:lang w:val="en-US" w:eastAsia="zh-CN"/>
        </w:rPr>
      </w:pPr>
      <w:r>
        <w:rPr>
          <w:rFonts w:hint="eastAsia" w:ascii="Times New Roman" w:hAnsi="Times New Roman" w:eastAsia="宋体" w:cs="宋体"/>
          <w:b/>
          <w:bCs/>
          <w:spacing w:val="240"/>
          <w:kern w:val="0"/>
          <w:sz w:val="32"/>
          <w:szCs w:val="40"/>
          <w:fitText w:val="1120" w:id="913340440"/>
          <w:lang w:val="en-US" w:eastAsia="zh-CN"/>
        </w:rPr>
        <w:t>甲</w:t>
      </w:r>
      <w:r>
        <w:rPr>
          <w:rFonts w:hint="eastAsia" w:ascii="Times New Roman" w:hAnsi="Times New Roman" w:eastAsia="宋体" w:cs="宋体"/>
          <w:b/>
          <w:bCs/>
          <w:spacing w:val="0"/>
          <w:kern w:val="0"/>
          <w:sz w:val="32"/>
          <w:szCs w:val="40"/>
          <w:fitText w:val="1120" w:id="913340440"/>
          <w:lang w:val="en-US" w:eastAsia="zh-CN"/>
        </w:rPr>
        <w:t>方</w:t>
      </w:r>
      <w:r>
        <w:rPr>
          <w:rFonts w:hint="eastAsia" w:ascii="Times New Roman" w:hAnsi="Times New Roman" w:eastAsia="宋体" w:cs="宋体"/>
          <w:b/>
          <w:bCs/>
          <w:sz w:val="32"/>
          <w:szCs w:val="40"/>
          <w:lang w:val="en-US" w:eastAsia="zh-CN"/>
        </w:rPr>
        <w:t>：</w:t>
      </w:r>
      <w:r>
        <w:rPr>
          <w:rFonts w:hint="eastAsia" w:ascii="Times New Roman" w:hAnsi="Times New Roman" w:eastAsia="宋体" w:cs="宋体"/>
          <w:b/>
          <w:bCs/>
          <w:sz w:val="32"/>
          <w:szCs w:val="40"/>
          <w:u w:val="thick"/>
          <w:lang w:val="en-US" w:eastAsia="zh-CN"/>
        </w:rPr>
        <w:t>西安市未央区环境卫生管理所</w:t>
      </w:r>
    </w:p>
    <w:p w14:paraId="05DDE1C8">
      <w:pPr>
        <w:keepNext w:val="0"/>
        <w:keepLines w:val="0"/>
        <w:pageBreakBefore w:val="0"/>
        <w:widowControl w:val="0"/>
        <w:kinsoku/>
        <w:wordWrap/>
        <w:overflowPunct/>
        <w:topLinePunct w:val="0"/>
        <w:autoSpaceDE/>
        <w:autoSpaceDN/>
        <w:bidi w:val="0"/>
        <w:adjustRightInd/>
        <w:snapToGrid/>
        <w:spacing w:line="480" w:lineRule="auto"/>
        <w:ind w:leftChars="600"/>
        <w:textAlignment w:val="auto"/>
        <w:outlineLvl w:val="9"/>
        <w:rPr>
          <w:rFonts w:hint="default" w:ascii="Times New Roman" w:hAnsi="Times New Roman" w:eastAsia="宋体" w:cs="宋体"/>
          <w:b/>
          <w:bCs/>
          <w:sz w:val="32"/>
          <w:szCs w:val="40"/>
          <w:lang w:val="en-US" w:eastAsia="zh-CN"/>
        </w:rPr>
      </w:pPr>
      <w:r>
        <w:rPr>
          <w:rFonts w:hint="eastAsia" w:ascii="Times New Roman" w:hAnsi="Times New Roman" w:eastAsia="宋体" w:cs="宋体"/>
          <w:b/>
          <w:bCs/>
          <w:spacing w:val="240"/>
          <w:kern w:val="0"/>
          <w:sz w:val="32"/>
          <w:szCs w:val="40"/>
          <w:fitText w:val="1120" w:id="1354697764"/>
          <w:lang w:val="en-US" w:eastAsia="zh-CN"/>
        </w:rPr>
        <w:t>乙</w:t>
      </w:r>
      <w:r>
        <w:rPr>
          <w:rFonts w:hint="eastAsia" w:ascii="Times New Roman" w:hAnsi="Times New Roman" w:eastAsia="宋体" w:cs="宋体"/>
          <w:b/>
          <w:bCs/>
          <w:spacing w:val="0"/>
          <w:kern w:val="0"/>
          <w:sz w:val="32"/>
          <w:szCs w:val="40"/>
          <w:fitText w:val="1120" w:id="1354697764"/>
          <w:lang w:val="en-US" w:eastAsia="zh-CN"/>
        </w:rPr>
        <w:t>方</w:t>
      </w:r>
      <w:r>
        <w:rPr>
          <w:rFonts w:hint="eastAsia" w:ascii="Times New Roman" w:hAnsi="Times New Roman" w:eastAsia="宋体" w:cs="宋体"/>
          <w:b/>
          <w:bCs/>
          <w:sz w:val="32"/>
          <w:szCs w:val="40"/>
          <w:lang w:val="en-US" w:eastAsia="zh-CN"/>
        </w:rPr>
        <w:t>：</w:t>
      </w:r>
      <w:r>
        <w:rPr>
          <w:rFonts w:hint="eastAsia" w:ascii="Times New Roman" w:hAnsi="Times New Roman" w:eastAsia="宋体" w:cs="宋体"/>
          <w:b/>
          <w:bCs/>
          <w:sz w:val="32"/>
          <w:szCs w:val="40"/>
          <w:u w:val="single"/>
          <w:lang w:val="en-US" w:eastAsia="zh-CN"/>
        </w:rPr>
        <w:t xml:space="preserve">                          </w:t>
      </w:r>
    </w:p>
    <w:p w14:paraId="36C58476">
      <w:pPr>
        <w:keepNext w:val="0"/>
        <w:keepLines w:val="0"/>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Times New Roman" w:hAnsi="Times New Roman" w:eastAsia="宋体" w:cs="宋体"/>
          <w:b/>
          <w:bCs/>
          <w:sz w:val="32"/>
          <w:szCs w:val="40"/>
          <w:lang w:val="en-US" w:eastAsia="zh-CN"/>
        </w:rPr>
      </w:pPr>
    </w:p>
    <w:p w14:paraId="78ABFFFE">
      <w:pPr>
        <w:keepNext w:val="0"/>
        <w:keepLines w:val="0"/>
        <w:pageBreakBefore w:val="0"/>
        <w:widowControl w:val="0"/>
        <w:kinsoku/>
        <w:wordWrap/>
        <w:overflowPunct/>
        <w:topLinePunct w:val="0"/>
        <w:autoSpaceDE/>
        <w:autoSpaceDN/>
        <w:bidi w:val="0"/>
        <w:adjustRightInd/>
        <w:snapToGrid/>
        <w:spacing w:line="480" w:lineRule="auto"/>
        <w:jc w:val="center"/>
        <w:textAlignment w:val="auto"/>
        <w:outlineLvl w:val="9"/>
        <w:rPr>
          <w:rFonts w:hint="default" w:ascii="Times New Roman" w:hAnsi="Times New Roman" w:eastAsia="宋体" w:cs="宋体"/>
          <w:b/>
          <w:bCs/>
          <w:sz w:val="32"/>
          <w:szCs w:val="40"/>
          <w:lang w:val="en-US" w:eastAsia="zh-CN"/>
        </w:rPr>
      </w:pPr>
      <w:r>
        <w:rPr>
          <w:rFonts w:hint="eastAsia" w:ascii="Times New Roman" w:hAnsi="Times New Roman" w:eastAsia="宋体" w:cs="宋体"/>
          <w:b/>
          <w:bCs/>
          <w:sz w:val="32"/>
          <w:szCs w:val="40"/>
          <w:lang w:val="en-US" w:eastAsia="zh-CN"/>
        </w:rPr>
        <w:t>年    月    日</w:t>
      </w:r>
    </w:p>
    <w:p w14:paraId="3D152F1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2B91FC1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sectPr>
          <w:pgSz w:w="11906" w:h="16838"/>
          <w:pgMar w:top="1440" w:right="1800" w:bottom="1440" w:left="1800" w:header="851" w:footer="992" w:gutter="0"/>
          <w:pgNumType w:fmt="decimal"/>
          <w:cols w:space="425" w:num="1"/>
          <w:docGrid w:type="lines" w:linePitch="312" w:charSpace="0"/>
        </w:sectPr>
      </w:pPr>
    </w:p>
    <w:p w14:paraId="4054FAFC">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firstLine="0" w:firstLineChars="0"/>
        <w:jc w:val="center"/>
        <w:textAlignment w:val="auto"/>
        <w:outlineLvl w:val="9"/>
        <w:rPr>
          <w:rFonts w:hint="default" w:ascii="Times New Roman" w:hAnsi="Times New Roman" w:eastAsia="宋体" w:cs="宋体"/>
          <w:b/>
          <w:bCs/>
          <w:sz w:val="30"/>
          <w:szCs w:val="30"/>
          <w:lang w:val="en-US" w:eastAsia="zh-CN"/>
        </w:rPr>
      </w:pPr>
      <w:r>
        <w:rPr>
          <w:rFonts w:hint="eastAsia" w:ascii="Times New Roman" w:hAnsi="Times New Roman" w:eastAsia="宋体" w:cs="宋体"/>
          <w:b/>
          <w:bCs/>
          <w:sz w:val="30"/>
          <w:szCs w:val="30"/>
          <w:lang w:val="en-US" w:eastAsia="zh-CN"/>
        </w:rPr>
        <w:t>合同文件格式</w:t>
      </w:r>
    </w:p>
    <w:p w14:paraId="72027A0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default"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甲方（采购人）：</w:t>
      </w:r>
      <w:r>
        <w:rPr>
          <w:rFonts w:hint="eastAsia" w:ascii="Times New Roman" w:hAnsi="Times New Roman" w:eastAsia="宋体" w:cs="宋体"/>
          <w:b w:val="0"/>
          <w:bCs w:val="0"/>
          <w:sz w:val="24"/>
          <w:szCs w:val="32"/>
          <w:u w:val="single"/>
          <w:lang w:val="en-US" w:eastAsia="zh-CN"/>
        </w:rPr>
        <w:t>西安市未央区环境卫生管理所</w:t>
      </w:r>
    </w:p>
    <w:p w14:paraId="16D0705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default"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乙方（投标人）：</w:t>
      </w:r>
      <w:r>
        <w:rPr>
          <w:rFonts w:hint="eastAsia" w:ascii="Times New Roman" w:hAnsi="Times New Roman" w:eastAsia="宋体" w:cs="宋体"/>
          <w:b w:val="0"/>
          <w:bCs w:val="0"/>
          <w:sz w:val="24"/>
          <w:szCs w:val="32"/>
          <w:u w:val="single"/>
          <w:lang w:val="en-US" w:eastAsia="zh-CN"/>
        </w:rPr>
        <w:t xml:space="preserve">                          </w:t>
      </w:r>
    </w:p>
    <w:p w14:paraId="3AE2A91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default"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甲乙双方根据</w:t>
      </w:r>
      <w:r>
        <w:rPr>
          <w:rFonts w:hint="eastAsia" w:ascii="Times New Roman" w:hAnsi="Times New Roman" w:eastAsia="宋体" w:cs="宋体"/>
          <w:b w:val="0"/>
          <w:bCs w:val="0"/>
          <w:sz w:val="24"/>
          <w:szCs w:val="32"/>
          <w:u w:val="single"/>
          <w:lang w:val="en-US" w:eastAsia="zh-CN"/>
        </w:rPr>
        <w:t xml:space="preserve">           （项目名称）            </w:t>
      </w:r>
      <w:r>
        <w:rPr>
          <w:rFonts w:hint="eastAsia" w:ascii="Times New Roman" w:hAnsi="Times New Roman" w:eastAsia="宋体" w:cs="宋体"/>
          <w:b w:val="0"/>
          <w:bCs w:val="0"/>
          <w:sz w:val="24"/>
          <w:szCs w:val="32"/>
          <w:lang w:val="en-US" w:eastAsia="zh-CN"/>
        </w:rPr>
        <w:t>项目的采购结果及相关招标文件、投标文件，经协商一致，订立本合同，供双方共同遵守：</w:t>
      </w:r>
    </w:p>
    <w:p w14:paraId="567409E5">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一、合同内容</w:t>
      </w:r>
    </w:p>
    <w:p w14:paraId="392ADD3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default"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1.标的：0号柴油、-10号柴油</w:t>
      </w:r>
    </w:p>
    <w:p w14:paraId="56D6068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default"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2.数量：具体以招标人实际车辆为准；加油量约440吨（具体以实际加油量为准）。</w:t>
      </w:r>
    </w:p>
    <w:p w14:paraId="78C0434D">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二、合同价款</w:t>
      </w:r>
    </w:p>
    <w:p w14:paraId="0FEE587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1.合同总价：</w:t>
      </w:r>
      <w:r>
        <w:rPr>
          <w:rFonts w:hint="eastAsia" w:ascii="Times New Roman" w:hAnsi="Times New Roman" w:eastAsia="宋体" w:cs="宋体"/>
          <w:b w:val="0"/>
          <w:bCs w:val="0"/>
          <w:sz w:val="24"/>
          <w:szCs w:val="32"/>
          <w:u w:val="single"/>
          <w:lang w:val="en-US" w:eastAsia="zh-CN"/>
        </w:rPr>
        <w:t xml:space="preserve">                          </w:t>
      </w:r>
    </w:p>
    <w:p w14:paraId="3A4AC1C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2.折扣：</w:t>
      </w:r>
      <w:r>
        <w:rPr>
          <w:rFonts w:hint="eastAsia" w:ascii="Times New Roman" w:hAnsi="Times New Roman" w:eastAsia="宋体" w:cs="宋体"/>
          <w:b w:val="0"/>
          <w:bCs w:val="0"/>
          <w:sz w:val="24"/>
          <w:szCs w:val="32"/>
          <w:u w:val="single"/>
          <w:lang w:val="en-US" w:eastAsia="zh-CN"/>
        </w:rPr>
        <w:t xml:space="preserve">                              </w:t>
      </w:r>
    </w:p>
    <w:p w14:paraId="0B32368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3.合同折扣后价格包括油费、税费等完成合同内容所需的一切费用。</w:t>
      </w:r>
    </w:p>
    <w:p w14:paraId="2E6D9E2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4.合同折扣不受市场价变化的影响。</w:t>
      </w:r>
    </w:p>
    <w:p w14:paraId="7B2D8484">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三、合同结算</w:t>
      </w:r>
    </w:p>
    <w:p w14:paraId="4AD79AD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1.计价方式</w:t>
      </w:r>
    </w:p>
    <w:p w14:paraId="7544C5C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（一）服务期内招标人加油按“</w:t>
      </w:r>
      <w:r>
        <w:rPr>
          <w:rFonts w:hint="eastAsia" w:ascii="Times New Roman" w:hAnsi="Times New Roman" w:eastAsia="宋体" w:cs="宋体"/>
          <w:b/>
          <w:bCs/>
          <w:sz w:val="24"/>
          <w:szCs w:val="32"/>
          <w:lang w:val="en-US" w:eastAsia="zh-CN"/>
        </w:rPr>
        <w:t>当天的零售挂牌价×折扣</w:t>
      </w:r>
      <w:r>
        <w:rPr>
          <w:rFonts w:hint="eastAsia" w:ascii="Times New Roman" w:hAnsi="Times New Roman" w:eastAsia="宋体" w:cs="宋体"/>
          <w:b w:val="0"/>
          <w:bCs w:val="0"/>
          <w:sz w:val="24"/>
          <w:szCs w:val="32"/>
          <w:lang w:val="en-US" w:eastAsia="zh-CN"/>
        </w:rPr>
        <w:t>”和采购人进行结算，不得再另外收费。</w:t>
      </w:r>
    </w:p>
    <w:p w14:paraId="21DDDEF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（二）中标人在进行调整油价之前，应将调整油价通知提供给采购人，调整后价格按政府批文日期执行。</w:t>
      </w:r>
    </w:p>
    <w:p w14:paraId="0A3C4433">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2.结算方式</w:t>
      </w:r>
    </w:p>
    <w:p w14:paraId="2096FC2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（一）采购人每月根据用油量以转账形式预付油款给中标人。中标人每月10日前将开具预付油款的发票交给采购人。</w:t>
      </w:r>
    </w:p>
    <w:p w14:paraId="3F3E45D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（二）中标人按照采购人提供的车辆资料及要求办理加油IC卡，使用IC卡为采购人车辆加油。IC卡按采购人资料要求设置限油品，凭密码加油，并配合采购人做好车辆加油监督管理。</w:t>
      </w:r>
    </w:p>
    <w:p w14:paraId="3D5C6AA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（三）中标人负责提供实际使用油料情况明细表（即：每台车辆的加油明细及汇总金额）供采购人和中标人双方确认，待双方核对一致并盖章确认。</w:t>
      </w:r>
    </w:p>
    <w:p w14:paraId="180F39F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四）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p>
    <w:p w14:paraId="28787FE6">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四、履行期限、地点及方式</w:t>
      </w:r>
    </w:p>
    <w:p w14:paraId="6609C8A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1.履行期限：自合同签订之日起一年，即</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年</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月</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日起至</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年月</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日止。</w:t>
      </w:r>
    </w:p>
    <w:p w14:paraId="5030413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2.地点：按照采购人要求</w:t>
      </w:r>
    </w:p>
    <w:p w14:paraId="6989AC6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3.方式：按照采购人要求</w:t>
      </w:r>
    </w:p>
    <w:p w14:paraId="6ED9F2DF">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五、质量保证</w:t>
      </w:r>
    </w:p>
    <w:p w14:paraId="1E44BD0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1.油品质量要符合国家强制性标准，加油设备、计量装置要符合国家强制性标准。</w:t>
      </w:r>
    </w:p>
    <w:p w14:paraId="27A3D5E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采购人有权对中标人所供应油品不定期不限次抽检。若经检测、鉴定，如因油品存在质量问题（以国家或者地方政府指定检测部门抽检油站油品检验结果为基准），采购人车辆使用该批次货物导致车辆损坏、故障的，中标人应承担全部维修费用和因此引起的损失。</w:t>
      </w:r>
    </w:p>
    <w:p w14:paraId="78839B2A">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六、甲方的权利和义务</w:t>
      </w:r>
    </w:p>
    <w:p w14:paraId="4346C09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1.甲方有权在乙方的所有加油站凭卡加油，且享受同等优惠率。</w:t>
      </w:r>
    </w:p>
    <w:p w14:paraId="07C6621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2.根据本合同规定，按时向乙方支付应付费用。</w:t>
      </w:r>
    </w:p>
    <w:p w14:paraId="640F47F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3.国家法律、法规所规定由甲方承担的其它责任。</w:t>
      </w:r>
    </w:p>
    <w:p w14:paraId="0C204776">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七、乙方的权利和义务</w:t>
      </w:r>
    </w:p>
    <w:p w14:paraId="626FFAB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1.公务用车进入加油站加油，均能受到良好的加油服务。</w:t>
      </w:r>
    </w:p>
    <w:p w14:paraId="5ABD0F6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2.保证上述车辆加油时场地畅通，做到加油及时。</w:t>
      </w:r>
    </w:p>
    <w:p w14:paraId="4C85F5C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3.所有加油操作人员能文明用语，礼貌对待车辆驾驶员。</w:t>
      </w:r>
    </w:p>
    <w:p w14:paraId="0119ABF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4.认真做好对加油员的监督，保证一车一卡加油，不允许用容器加油。</w:t>
      </w:r>
    </w:p>
    <w:p w14:paraId="58ED946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5.不因用户车辆的多少而采取不同的态度。</w:t>
      </w:r>
    </w:p>
    <w:p w14:paraId="5580CB8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6.如发生成品油供不应求的情况时，优先提供加油服务，确保环卫生产作业。</w:t>
      </w:r>
    </w:p>
    <w:p w14:paraId="562B952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7.中标人提供的油品数量必须保证每天都能满足采购人的需求，特别是油品紧缺时也要力争保证采购人每天的正常需要（在同等条件下优先）。</w:t>
      </w:r>
    </w:p>
    <w:p w14:paraId="2FAB6E0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8.中标人不得在未经双方协商一致的情况下将中标业务转让给他人或者单位。</w:t>
      </w:r>
    </w:p>
    <w:p w14:paraId="5190A30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9.中标人所提供的货物或服务质量标准按照国家标准、行业标准，上述标准不一致的，以严格或最新的标准为准。没有国家标准、行业标准的，按照通常标准或者符合合同目的的特定标准确定。</w:t>
      </w:r>
    </w:p>
    <w:p w14:paraId="5E4C1E1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10.服务安全：自合同签订之日起，至服务期结束或总预算金额执行完为止：供应商负责对本公司所有服务人员进行安全教育，如发生任何意外或事故，供应商承担全部医疗费用、法律责任、经济赔偿。</w:t>
      </w:r>
    </w:p>
    <w:p w14:paraId="3C3C9F4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11.对本合同规定的范围内的享有管理权及服务义务。</w:t>
      </w:r>
    </w:p>
    <w:p w14:paraId="03E99EF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12.及时向甲方通告本项目执行范围内有关的重大事项，及时处理出现的问题。</w:t>
      </w:r>
    </w:p>
    <w:p w14:paraId="67AF2ED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13.接受项目行业管理部门及政府有关部门的监督指导，接受甲方的监督。</w:t>
      </w:r>
    </w:p>
    <w:p w14:paraId="7DB85C6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14.国家法律、法规所规定由乙方承担的其它责任。</w:t>
      </w:r>
    </w:p>
    <w:p w14:paraId="32C64EFF">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八、验收要求</w:t>
      </w:r>
    </w:p>
    <w:p w14:paraId="2142A6E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1.甲方对乙方的服务情况进行不定期考核。</w:t>
      </w:r>
    </w:p>
    <w:p w14:paraId="3AC206C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2.验收依据：</w:t>
      </w:r>
    </w:p>
    <w:p w14:paraId="24668D1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（1）合同文本、合同附件、招标文件、投标文件。</w:t>
      </w:r>
    </w:p>
    <w:p w14:paraId="1488C80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（2）国内相应的标准、规范。</w:t>
      </w:r>
    </w:p>
    <w:p w14:paraId="0BDAC9E5">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九、违约责任</w:t>
      </w:r>
    </w:p>
    <w:p w14:paraId="582CA11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1.违约责任按《中华人民共和国民法典》处理中的相关条款执行。</w:t>
      </w:r>
    </w:p>
    <w:p w14:paraId="2A1602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2.乙方未按合同要求提供货物或质量不能满足技术要求，甲方会同监督机构有权终止合同，对乙方违约行为进行追究，同时按政府采购法的有关规定进行相应的处罚。</w:t>
      </w:r>
    </w:p>
    <w:p w14:paraId="2FDDEBBF">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十、不可抗力事件处理</w:t>
      </w:r>
    </w:p>
    <w:p w14:paraId="2376C72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3E4D08E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2.本合同中的不可抗力指不能预见、不能避免并不能克服的客观情况。包括但不限于：自然灾害如地震、台风、洪水、火灾；政府行为、法律规定或其适用的变化或者其他任何无法预见、避免或者控制的事件。</w:t>
      </w:r>
    </w:p>
    <w:p w14:paraId="74AF9496">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十一、合同组成</w:t>
      </w:r>
    </w:p>
    <w:p w14:paraId="55DE026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1.中标（成交）通知书</w:t>
      </w:r>
    </w:p>
    <w:p w14:paraId="6D47A35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2.合同文件</w:t>
      </w:r>
    </w:p>
    <w:p w14:paraId="47D21AD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3.国家相关规范及标准</w:t>
      </w:r>
    </w:p>
    <w:p w14:paraId="65C4F1F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4.供货产品技术规格及参数表</w:t>
      </w:r>
    </w:p>
    <w:p w14:paraId="3F2C527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5.招标文件</w:t>
      </w:r>
    </w:p>
    <w:p w14:paraId="79075F3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6.投标文件</w:t>
      </w:r>
    </w:p>
    <w:p w14:paraId="7EB418EC">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十二、解决争议的办法</w:t>
      </w:r>
    </w:p>
    <w:p w14:paraId="2FC45D0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凡因本合同引起的或与本合同有关的争议，双方应友好协商解决。协商不成时，双方均同意采用以下第（ 1 ）种争议解决方式：</w:t>
      </w:r>
    </w:p>
    <w:p w14:paraId="0FFB976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（1）甲、乙双方均同意向（甲方所在地人民法院）提起诉讼。</w:t>
      </w:r>
    </w:p>
    <w:p w14:paraId="7714E52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（2）甲、乙双方均同意向（仲裁委员会）提起仲裁。</w:t>
      </w:r>
    </w:p>
    <w:p w14:paraId="33F0EEC3">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9"/>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十三、合同生效及其它</w:t>
      </w:r>
    </w:p>
    <w:p w14:paraId="4758E79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1.合同未尽事宜、由甲、乙双方协商，作为合同补充，与原合同具有同等法律效力。</w:t>
      </w:r>
    </w:p>
    <w:p w14:paraId="09C711C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2.合同经甲乙双方盖章、签字后生效，本合同一式</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份，甲方、乙方双方分别执份，具有同等法律效力。</w:t>
      </w:r>
    </w:p>
    <w:p w14:paraId="7DF0CD5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3、合同签订地点为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w:t>
      </w:r>
    </w:p>
    <w:p w14:paraId="72D7CEF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25DD87B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9A2D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Align w:val="center"/>
          </w:tcPr>
          <w:p w14:paraId="7A0DBDB1">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甲方：</w:t>
            </w:r>
          </w:p>
        </w:tc>
        <w:tc>
          <w:tcPr>
            <w:tcW w:w="4261" w:type="dxa"/>
            <w:vAlign w:val="center"/>
          </w:tcPr>
          <w:p w14:paraId="543BD415">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乙方：</w:t>
            </w:r>
          </w:p>
        </w:tc>
      </w:tr>
      <w:tr w14:paraId="1567E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Align w:val="center"/>
          </w:tcPr>
          <w:p w14:paraId="35CBA586">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（盖章）</w:t>
            </w:r>
          </w:p>
        </w:tc>
        <w:tc>
          <w:tcPr>
            <w:tcW w:w="4261" w:type="dxa"/>
            <w:vAlign w:val="center"/>
          </w:tcPr>
          <w:p w14:paraId="338966B0">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（盖章）</w:t>
            </w:r>
          </w:p>
        </w:tc>
      </w:tr>
      <w:tr w14:paraId="35F56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Align w:val="center"/>
          </w:tcPr>
          <w:p w14:paraId="7DF31D7A">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地址：</w:t>
            </w:r>
          </w:p>
        </w:tc>
        <w:tc>
          <w:tcPr>
            <w:tcW w:w="4261" w:type="dxa"/>
            <w:vAlign w:val="center"/>
          </w:tcPr>
          <w:p w14:paraId="529FE2AB">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地址：</w:t>
            </w:r>
          </w:p>
        </w:tc>
      </w:tr>
      <w:tr w14:paraId="30168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Align w:val="center"/>
          </w:tcPr>
          <w:p w14:paraId="6E1D1559">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邮编：</w:t>
            </w:r>
          </w:p>
        </w:tc>
        <w:tc>
          <w:tcPr>
            <w:tcW w:w="4261" w:type="dxa"/>
            <w:vAlign w:val="center"/>
          </w:tcPr>
          <w:p w14:paraId="22692413">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邮编：</w:t>
            </w:r>
          </w:p>
        </w:tc>
      </w:tr>
      <w:tr w14:paraId="4912C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Merge w:val="restart"/>
            <w:vAlign w:val="center"/>
          </w:tcPr>
          <w:p w14:paraId="23CE9796">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全权代表：（签字）</w:t>
            </w:r>
          </w:p>
        </w:tc>
        <w:tc>
          <w:tcPr>
            <w:tcW w:w="4261" w:type="dxa"/>
            <w:vAlign w:val="center"/>
          </w:tcPr>
          <w:p w14:paraId="262CDF1F">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法定代表人</w:t>
            </w:r>
          </w:p>
        </w:tc>
      </w:tr>
      <w:tr w14:paraId="38E37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Merge w:val="continue"/>
            <w:vAlign w:val="center"/>
          </w:tcPr>
          <w:p w14:paraId="7B3EE1DB">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p>
        </w:tc>
        <w:tc>
          <w:tcPr>
            <w:tcW w:w="4261" w:type="dxa"/>
            <w:vAlign w:val="center"/>
          </w:tcPr>
          <w:p w14:paraId="3A831091">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或被授权代表：（签字）</w:t>
            </w:r>
          </w:p>
        </w:tc>
      </w:tr>
      <w:tr w14:paraId="6A870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Align w:val="center"/>
          </w:tcPr>
          <w:p w14:paraId="057779E5">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电话：</w:t>
            </w:r>
          </w:p>
        </w:tc>
        <w:tc>
          <w:tcPr>
            <w:tcW w:w="4261" w:type="dxa"/>
            <w:vAlign w:val="center"/>
          </w:tcPr>
          <w:p w14:paraId="1C80A5BC">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电话：</w:t>
            </w:r>
          </w:p>
        </w:tc>
      </w:tr>
      <w:tr w14:paraId="3CB10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Merge w:val="restart"/>
            <w:vAlign w:val="center"/>
          </w:tcPr>
          <w:p w14:paraId="472F4D96">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传真：</w:t>
            </w:r>
          </w:p>
        </w:tc>
        <w:tc>
          <w:tcPr>
            <w:tcW w:w="4261" w:type="dxa"/>
            <w:vAlign w:val="center"/>
          </w:tcPr>
          <w:p w14:paraId="62A4D600">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传真：</w:t>
            </w:r>
          </w:p>
        </w:tc>
      </w:tr>
      <w:tr w14:paraId="35248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Merge w:val="continue"/>
            <w:vAlign w:val="center"/>
          </w:tcPr>
          <w:p w14:paraId="405E18C1">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p>
        </w:tc>
        <w:tc>
          <w:tcPr>
            <w:tcW w:w="4261" w:type="dxa"/>
            <w:vAlign w:val="center"/>
          </w:tcPr>
          <w:p w14:paraId="24D00E46">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开户银行：</w:t>
            </w:r>
          </w:p>
        </w:tc>
      </w:tr>
      <w:tr w14:paraId="42E7F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Merge w:val="continue"/>
            <w:vAlign w:val="center"/>
          </w:tcPr>
          <w:p w14:paraId="729F26C7">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p>
        </w:tc>
        <w:tc>
          <w:tcPr>
            <w:tcW w:w="4261" w:type="dxa"/>
            <w:vAlign w:val="center"/>
          </w:tcPr>
          <w:p w14:paraId="42110346">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账号：</w:t>
            </w:r>
          </w:p>
        </w:tc>
      </w:tr>
      <w:tr w14:paraId="273F5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261" w:type="dxa"/>
            <w:vAlign w:val="center"/>
          </w:tcPr>
          <w:p w14:paraId="3AEB8517">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日期：      年      月      日</w:t>
            </w:r>
          </w:p>
        </w:tc>
        <w:tc>
          <w:tcPr>
            <w:tcW w:w="4261" w:type="dxa"/>
            <w:vAlign w:val="center"/>
          </w:tcPr>
          <w:p w14:paraId="256AC56B">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宋体" w:cs="宋体"/>
                <w:b w:val="0"/>
                <w:bCs w:val="0"/>
                <w:sz w:val="24"/>
                <w:szCs w:val="32"/>
                <w:vertAlign w:val="baseline"/>
                <w:lang w:val="en-US" w:eastAsia="zh-CN"/>
              </w:rPr>
            </w:pPr>
            <w:r>
              <w:rPr>
                <w:rFonts w:hint="eastAsia" w:ascii="Times New Roman" w:hAnsi="Times New Roman" w:eastAsia="宋体" w:cs="宋体"/>
                <w:b w:val="0"/>
                <w:bCs w:val="0"/>
                <w:sz w:val="24"/>
                <w:szCs w:val="32"/>
                <w:vertAlign w:val="baseline"/>
                <w:lang w:val="en-US" w:eastAsia="zh-CN"/>
              </w:rPr>
              <w:t>日期：      年      月      日</w:t>
            </w:r>
          </w:p>
        </w:tc>
      </w:tr>
    </w:tbl>
    <w:p w14:paraId="254CB45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default" w:ascii="Times New Roman" w:hAnsi="Times New Roman" w:eastAsia="宋体" w:cs="宋体"/>
          <w:b w:val="0"/>
          <w:bCs w:val="0"/>
          <w:sz w:val="24"/>
          <w:szCs w:val="32"/>
          <w:lang w:val="en-US" w:eastAsia="zh-CN"/>
        </w:rPr>
      </w:pPr>
    </w:p>
    <w:p w14:paraId="2BBEC566">
      <w:pPr>
        <w:pStyle w:val="15"/>
        <w:rPr>
          <w:rFonts w:hint="eastAsia" w:ascii="仿宋_GB2312" w:hAnsi="仿宋_GB2312" w:eastAsia="仿宋_GB2312" w:cs="仿宋_GB2312"/>
          <w:lang w:val="en-US" w:eastAsia="zh-Hans"/>
        </w:rPr>
      </w:pPr>
    </w:p>
    <w:p w14:paraId="6B8296D9">
      <w:pPr>
        <w:rPr>
          <w:color w:val="000000" w:themeColor="text1"/>
          <w14:textFill>
            <w14:solidFill>
              <w14:schemeClr w14:val="tx1"/>
            </w14:solidFill>
          </w14:textFill>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D998A"/>
    <w:multiLevelType w:val="multilevel"/>
    <w:tmpl w:val="5DCD998A"/>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2"/>
      <w:suff w:val="nothing"/>
      <w:lvlText w:val="%3．"/>
      <w:lvlJc w:val="left"/>
      <w:pPr>
        <w:ind w:left="0" w:firstLine="400"/>
      </w:pPr>
      <w:rPr>
        <w:rFonts w:hint="eastAsia"/>
      </w:rPr>
    </w:lvl>
    <w:lvl w:ilvl="3" w:tentative="0">
      <w:start w:val="1"/>
      <w:numFmt w:val="decimal"/>
      <w:suff w:val="nothing"/>
      <w:lvlText w:val="（%4）"/>
      <w:lvlJc w:val="left"/>
      <w:pPr>
        <w:ind w:left="5993"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850"/>
    <w:rsid w:val="00194392"/>
    <w:rsid w:val="002303A4"/>
    <w:rsid w:val="00927850"/>
    <w:rsid w:val="00DD3094"/>
    <w:rsid w:val="13081CB0"/>
    <w:rsid w:val="285D58F2"/>
    <w:rsid w:val="415F37E9"/>
    <w:rsid w:val="74C07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numPr>
        <w:ilvl w:val="2"/>
        <w:numId w:val="1"/>
      </w:numPr>
      <w:tabs>
        <w:tab w:val="left" w:pos="960"/>
      </w:tabs>
      <w:ind w:left="960" w:hanging="324"/>
      <w:jc w:val="center"/>
      <w:outlineLvl w:val="2"/>
    </w:pPr>
    <w:rPr>
      <w:rFonts w:ascii="黑体" w:eastAsia="黑体"/>
      <w:color w:val="000000"/>
      <w:sz w:val="32"/>
      <w:szCs w:val="20"/>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Normal Indent"/>
    <w:basedOn w:val="1"/>
    <w:link w:val="14"/>
    <w:unhideWhenUsed/>
    <w:qFormat/>
    <w:uiPriority w:val="99"/>
    <w:pPr>
      <w:ind w:firstLine="420" w:firstLineChars="200"/>
    </w:pPr>
  </w:style>
  <w:style w:type="paragraph" w:styleId="4">
    <w:name w:val="Body Text"/>
    <w:basedOn w:val="1"/>
    <w:next w:val="1"/>
    <w:link w:val="10"/>
    <w:semiHidden/>
    <w:unhideWhenUsed/>
    <w:qFormat/>
    <w:uiPriority w:val="99"/>
    <w:pPr>
      <w:spacing w:after="120"/>
    </w:pPr>
  </w:style>
  <w:style w:type="paragraph" w:styleId="5">
    <w:name w:val="Normal (Web)"/>
    <w:basedOn w:val="1"/>
    <w:link w:val="12"/>
    <w:qFormat/>
    <w:uiPriority w:val="99"/>
    <w:pPr>
      <w:widowControl/>
      <w:spacing w:before="100" w:beforeAutospacing="1" w:after="100" w:afterAutospacing="1"/>
      <w:jc w:val="left"/>
    </w:pPr>
    <w:rPr>
      <w:rFonts w:ascii="宋体" w:hAnsi="宋体"/>
      <w:kern w:val="0"/>
      <w:sz w:val="18"/>
      <w:szCs w:val="18"/>
    </w:rPr>
  </w:style>
  <w:style w:type="paragraph" w:styleId="6">
    <w:name w:val="Body Text First Indent"/>
    <w:basedOn w:val="4"/>
    <w:link w:val="11"/>
    <w:qFormat/>
    <w:uiPriority w:val="0"/>
    <w:pPr>
      <w:ind w:firstLine="420" w:firstLineChars="100"/>
    </w:pPr>
  </w:style>
  <w:style w:type="table" w:styleId="8">
    <w:name w:val="Table Grid"/>
    <w:basedOn w:val="7"/>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正文文本 Char"/>
    <w:basedOn w:val="9"/>
    <w:link w:val="4"/>
    <w:semiHidden/>
    <w:qFormat/>
    <w:uiPriority w:val="99"/>
    <w:rPr>
      <w:rFonts w:ascii="Times New Roman" w:hAnsi="Times New Roman" w:eastAsia="宋体" w:cs="Times New Roman"/>
      <w:szCs w:val="24"/>
    </w:rPr>
  </w:style>
  <w:style w:type="character" w:customStyle="1" w:styleId="11">
    <w:name w:val="正文首行缩进 Char"/>
    <w:basedOn w:val="10"/>
    <w:link w:val="6"/>
    <w:qFormat/>
    <w:uiPriority w:val="0"/>
    <w:rPr>
      <w:rFonts w:ascii="Times New Roman" w:hAnsi="Times New Roman" w:eastAsia="宋体" w:cs="Times New Roman"/>
      <w:szCs w:val="24"/>
    </w:rPr>
  </w:style>
  <w:style w:type="character" w:customStyle="1" w:styleId="12">
    <w:name w:val="普通(网站) Char"/>
    <w:link w:val="5"/>
    <w:qFormat/>
    <w:uiPriority w:val="99"/>
    <w:rPr>
      <w:rFonts w:ascii="宋体" w:hAnsi="宋体" w:eastAsia="宋体" w:cs="Times New Roman"/>
      <w:kern w:val="0"/>
      <w:sz w:val="18"/>
      <w:szCs w:val="18"/>
    </w:rPr>
  </w:style>
  <w:style w:type="paragraph" w:customStyle="1" w:styleId="13">
    <w:name w:val="样式 首行缩进:  2 字符"/>
    <w:basedOn w:val="1"/>
    <w:qFormat/>
    <w:uiPriority w:val="0"/>
    <w:pPr>
      <w:spacing w:line="400" w:lineRule="exact"/>
      <w:ind w:firstLine="200" w:firstLineChars="200"/>
    </w:pPr>
    <w:rPr>
      <w:rFonts w:cs="宋体"/>
      <w:sz w:val="24"/>
    </w:rPr>
  </w:style>
  <w:style w:type="character" w:customStyle="1" w:styleId="14">
    <w:name w:val="正文缩进 Char"/>
    <w:link w:val="3"/>
    <w:qFormat/>
    <w:uiPriority w:val="99"/>
    <w:rPr>
      <w:rFonts w:ascii="Times New Roman" w:hAnsi="Times New Roman" w:eastAsia="宋体" w:cs="Times New Roman"/>
      <w:szCs w:val="24"/>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6</Pages>
  <Words>5179</Words>
  <Characters>5248</Characters>
  <Lines>43</Lines>
  <Paragraphs>12</Paragraphs>
  <TotalTime>0</TotalTime>
  <ScaleCrop>false</ScaleCrop>
  <LinksUpToDate>false</LinksUpToDate>
  <CharactersWithSpaces>5736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2024-02-04T06:19:00Z</dcterms:created>
  <dc:creator>Administrator</dc:creator>
  <cp:lastModifiedBy>C.H</cp:lastModifiedBy>
  <dcterms:modified xsi:type="dcterms:W3CDTF">2025-06-30T09:27:34Z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eyJoZGlkIjoiYzUxZGNhMzhhM2U2N2U1MTJhYjNhNzVkNjg5MTQyMzMiLCJ1c2VySWQiOiI2ODg3NTM4MzEifQ==</vt:lpwstr>
  </property>
  <property fmtid="{D5CDD505-2E9C-101B-9397-08002B2CF9AE}" pid="3" name="KSOProductBuildVer">
    <vt:lpwstr>2052-12.1.0.21541</vt:lpwstr>
  </property>
  <property fmtid="{D5CDD505-2E9C-101B-9397-08002B2CF9AE}" pid="4" name="ICV">
    <vt:lpwstr>18F0778F8C604E3498B1C6C1FCB53354_12</vt:lpwstr>
  </property>
</Properties>
</file>