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版本号：HZZB-2025-00220250613002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西安市未央区红旗西渠、中渠改造项目监理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HZZB-2025-002</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西安华众瑞恒项目管理有限公司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西安华众瑞恒项目管理有限公司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西安市未央区红旗西渠、中渠改造项目监理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HZZB-2025-002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西安市未央区红旗西渠、中渠改造项目监理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城市管理和综合执法局西安市未央区红旗西渠、中渠改造项目监理，采购预算人民币39.04万元，包括：红旗西渠截污、河址西西村截污、红旗西渠改造（雨水出路、红旗西渠边坡修复、红旗西渠增设盖板）、红旗中渠部分填埋、雨水出路等的全部监理服务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采购包1（西安市未央区红旗西渠、中渠改造项目监理）：属于专门面向中小企业采购。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2023年度或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8、企业资质：供应商应具备建设行政主管部门颁发的工程监理综合资质或市政公用工程监理丙级及以上资质；</w:t>
      </w:r>
    </w:p>
    <w:p>
      <w:pPr>
        <w:pStyle w:val="null3"/>
      </w:pPr>
      <w:r>
        <w:rPr>
          <w:rFonts w:ascii="仿宋_GB2312" w:hAnsi="仿宋_GB2312" w:cs="仿宋_GB2312" w:eastAsia="仿宋_GB2312"/>
        </w:rPr>
        <w:t>9、拟派项目负责人：供应商拟派项目总监理工程师须具备市政公用工程专业国家注册监理工程师资格，且在本单位注册；</w:t>
      </w:r>
    </w:p>
    <w:p>
      <w:pPr>
        <w:pStyle w:val="null3"/>
      </w:pPr>
      <w:r>
        <w:rPr>
          <w:rFonts w:ascii="仿宋_GB2312" w:hAnsi="仿宋_GB2312" w:cs="仿宋_GB2312" w:eastAsia="仿宋_GB2312"/>
        </w:rPr>
        <w:t>10、供应商基本信息及项目负责人的基本信息在“陕西省住房和城乡建设厅（http://js.shaanxi.gov.cn/）”或“全国建筑市场监管公共服务平台（https://jzsc.mohurd.gov.cn/）”可查询。：供应商基本信息及项目负责人的基本信息在“陕西省住房和城乡建设厅（http://js.shaanxi.gov.cn/）”或“全国建筑市场监管公共服务平台（https://jzsc.mohurd.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15809263982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西安华众瑞恒项目管理有限公司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陕西省西安市未央区陕西省西安市未央区东元路90号天丰东环广场小区1号楼1单元1612室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安俊男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17792269973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代理服务费收费标准：1、成交单位在领取成交通知书前，须向采购代理机构支付代理服务费。 2、代理服务费依据国家发展改革委员会办公厅颁发的《关于招标代理服务收费有关问题的通知》（发改办价格[2003] 857号）及《国家计委关于印发&lt;招标代理服务收费管理暂行办法&gt;的通知》（计价格[2002]1980号）文件规定标准收取。 开户银行：中国建设银行西安雁塔路支行 账号：61050190520000002076 账户名：西安华众瑞恒项目管理有限公司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西安华众瑞恒项目管理有限公司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西安华众瑞恒项目管理有限公司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西安华众瑞恒项目管理有限公司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联系人：安俊南</w:t>
      </w:r>
    </w:p>
    <w:p>
      <w:pPr>
        <w:pStyle w:val="null3"/>
      </w:pPr>
      <w:r>
        <w:rPr>
          <w:rFonts w:ascii="仿宋_GB2312" w:hAnsi="仿宋_GB2312" w:cs="仿宋_GB2312" w:eastAsia="仿宋_GB2312"/>
        </w:rPr>
        <w:t>联系电话：17792269973</w:t>
      </w:r>
    </w:p>
    <w:p>
      <w:pPr>
        <w:pStyle w:val="null3"/>
      </w:pPr>
      <w:r>
        <w:rPr>
          <w:rFonts w:ascii="仿宋_GB2312" w:hAnsi="仿宋_GB2312" w:cs="仿宋_GB2312" w:eastAsia="仿宋_GB2312"/>
        </w:rPr>
        <w:t>地址：西安市未央区东元路90号天丰东环广场小区1号楼1单元1612室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城市管理和综合执法局西安市未央区红旗西渠、中渠改造项目监理，其中包括：红旗西渠截污、河址西西村截污、红旗西渠改造（雨水出路、红旗西渠边坡修复、红旗西渠增设盖板）、红旗中渠部分填埋、雨水出路等，项目总投资1601.89万元，其中工程费用1372.42万元，预备费76.28万元。 项目建设内容包括：（一）排水工程：新建污水管道管径DN400~DN600毫米，管长935米。新建雨水管道管DN300~DN600毫米，管长528米；管径dl350毫米，管长55米。现状渠道清淤520平方米，红旗西渠渠道抬升采用C20混凝土580平方米，红旗中渠填埋采用建筑垃圾掺土回填8065平方米，素土回填2000平方米，渠道间连接管涵采用C20—2—i混凝土回填235平方米，拆除现状盖板2350平方米。（二）结构工程：主要内容包括拆除49米管涵、新建49米钢筋混凝土箱涵、拆除及新建43米钢筋混凝土U型槽、现状渠壁修复、渠顶增设波形梁护栏200米，围栏628米，305米渠道新建盖板，现状苗木（胸径10厘米）移栽100颗，土体注浆加固（以被加固土体体积计）500立方米。（三）道路工程：北三环南辅道新建非机动车道面积305平方米，拆除非机动车道面积305平方米，新建人行道面积329平方米，拆除人行道面积329平方米，新建车行道面积22平方米。龙朔南路下穿高速段旧路拆除830平方米，新建车行道830平方米，标线120平方米。韶华路拆除现状人行道面积27平方米，新建车行道面积54平方米。新建水泥路面2216平方米，新建人行道902平方米。（四）绿化工程：主要包括北三环南北两侧绿化补栽、韶华路与昭远门路交叉口东南角绿地、韶华路与元朔大道交叉口西北角绿地、韶华路西侧人行道绿化补栽及人行道外侧绿化。主要补栽大乔木171株，小乔木54株，灌木球156株；下层栽植草坪及麦冬1446平方米、绿篱909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390,400.00</w:t>
      </w:r>
    </w:p>
    <w:p>
      <w:pPr>
        <w:pStyle w:val="null3"/>
      </w:pPr>
      <w:r>
        <w:rPr>
          <w:rFonts w:ascii="仿宋_GB2312" w:hAnsi="仿宋_GB2312" w:cs="仿宋_GB2312" w:eastAsia="仿宋_GB2312"/>
        </w:rPr>
        <w:t>采购包最高限价（元）: 390,400.00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西安市未央区红旗西渠、中渠改造项目监理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标的名称：西安市未央区红旗西渠、中渠改造项目监理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服务内容：</w:t>
            </w:r>
            <w:r>
              <w:rPr>
                <w:rFonts w:ascii="仿宋_GB2312" w:hAnsi="仿宋_GB2312" w:cs="仿宋_GB2312" w:eastAsia="仿宋_GB2312"/>
                <w:sz w:val="21"/>
                <w:color w:val="000000"/>
              </w:rPr>
              <w:t>服务范围：西安市未央区红旗西渠、中渠改造项目监理，包括：红旗西渠截污、河址西西村截污、红旗西渠改造（雨水出路、红旗西渠边坡修复、红旗西渠增设盖板）、红旗中渠部分填埋、雨水出路等的全部监理服务内容，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技术要求：</w:t>
            </w:r>
            <w:r>
              <w:rPr>
                <w:rFonts w:ascii="仿宋_GB2312" w:hAnsi="仿宋_GB2312" w:cs="仿宋_GB2312" w:eastAsia="仿宋_GB2312"/>
                <w:sz w:val="21"/>
                <w:color w:val="000000"/>
              </w:rPr>
              <w:t>监理服务需按照《中华人民共和国民法典》、《建设工程监理规范》、《建筑法》及国家、陕西省、西安市颁布现行的与监理工作有关的法律、法规、标准、规范和规程，施工合同，经批准的设计文件（含设计变更）等进行监督。本工程所执行的标准、规范包括但不限于：《建设工程监理规范》</w:t>
            </w:r>
            <w:r>
              <w:rPr>
                <w:rFonts w:ascii="仿宋_GB2312" w:hAnsi="仿宋_GB2312" w:cs="仿宋_GB2312" w:eastAsia="仿宋_GB2312"/>
                <w:sz w:val="21"/>
                <w:color w:val="000000"/>
              </w:rPr>
              <w:t>GB/T50319—2013；《建筑工程质量验收统一标准》GB 50300-2013；《城市道路工程技术规范》（GB51286-2018)；《城乡排水工程项目规范》（GB55027-2022）；《沥青路面施工及验收规范》GB 50092-1996；《给水排水构筑物工程施工及验收规范》给 GB 50141-2008；《给水排水管道工程施工及验收规范》GB 50268-2008；《建筑与市政地基基础通用规范》（GB55003-2021）；《建筑与市政工程防水通用规范》（GB55030-2022）；《建筑与市政工程抗震通用规范》（GB55002-2021）；《房屋建筑和市政基础设施工程质量检测技术管理规范》GB 50618-2011；《市政工程施工组织设计规范补充条款》GB 50903-2013</w:t>
            </w:r>
            <w:r>
              <w:rPr>
                <w:rFonts w:ascii="仿宋_GB2312" w:hAnsi="仿宋_GB2312" w:cs="仿宋_GB2312" w:eastAsia="仿宋_GB2312"/>
                <w:sz w:val="21"/>
                <w:color w:val="000000"/>
              </w:rPr>
              <w:t>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sz w:val="21"/>
                <w:color w:val="000000"/>
              </w:rPr>
              <w:t>1、在合同执行过程中监理服务单位应执行国家、省、市的相关服务标准和应当履行的相关义务。</w:t>
            </w:r>
          </w:p>
          <w:p>
            <w:pPr>
              <w:pStyle w:val="null3"/>
            </w:pPr>
            <w:r>
              <w:rPr>
                <w:rFonts w:ascii="仿宋_GB2312" w:hAnsi="仿宋_GB2312" w:cs="仿宋_GB2312" w:eastAsia="仿宋_GB2312"/>
                <w:sz w:val="21"/>
                <w:color w:val="000000"/>
              </w:rPr>
              <w:t>2、建立完善工作制度</w:t>
            </w:r>
          </w:p>
          <w:p>
            <w:pPr>
              <w:pStyle w:val="null3"/>
            </w:pPr>
            <w:r>
              <w:rPr>
                <w:rFonts w:ascii="仿宋_GB2312" w:hAnsi="仿宋_GB2312" w:cs="仿宋_GB2312" w:eastAsia="仿宋_GB2312"/>
                <w:sz w:val="21"/>
                <w:color w:val="000000"/>
              </w:rPr>
              <w:t>2.1定期沟通制度：成交人定期将监理情况及时向采购人汇报。内容主要包括目前监理工作的进度，监理工作中发现的问题及需要协调的事项。</w:t>
            </w:r>
          </w:p>
          <w:p>
            <w:pPr>
              <w:pStyle w:val="null3"/>
            </w:pPr>
            <w:r>
              <w:rPr>
                <w:rFonts w:ascii="仿宋_GB2312" w:hAnsi="仿宋_GB2312" w:cs="仿宋_GB2312" w:eastAsia="仿宋_GB2312"/>
                <w:sz w:val="21"/>
                <w:color w:val="000000"/>
              </w:rPr>
              <w:t>2.2建立固定联系人制度：明确该监理项目的项目负责人，项目负责人作为与委托人的固定联系人，成交人如需变更则应以书面形式向采购人提出并经采购人同意后才能变更。</w:t>
            </w:r>
          </w:p>
          <w:p>
            <w:pPr>
              <w:pStyle w:val="null3"/>
            </w:pPr>
            <w:r>
              <w:rPr>
                <w:rFonts w:ascii="仿宋_GB2312" w:hAnsi="仿宋_GB2312" w:cs="仿宋_GB2312" w:eastAsia="仿宋_GB2312"/>
                <w:sz w:val="21"/>
                <w:color w:val="000000"/>
              </w:rPr>
              <w:t>2.3重大问题请示报告制度：各项目小组在工作中遇到的重大、紧急的、需及时与有关各方沟通及协调处理的问题，经项目负责人提出初步意见后，以重大问题报告的形式及时向采购人请示汇报。</w:t>
            </w:r>
          </w:p>
          <w:p>
            <w:pPr>
              <w:pStyle w:val="null3"/>
            </w:pPr>
            <w:r>
              <w:rPr>
                <w:rFonts w:ascii="仿宋_GB2312" w:hAnsi="仿宋_GB2312" w:cs="仿宋_GB2312" w:eastAsia="仿宋_GB2312"/>
                <w:sz w:val="21"/>
                <w:color w:val="000000"/>
              </w:rPr>
              <w:t>3、本项目跟踪监理，成交人派人进驻现场，实施对工程项目全过程跟踪监理。派驻现场人员确保身体健康，能够适应工程现场工作。且应按响应文件中承诺的人员组织安排，不得更换，如确要变动，需报经采购人书面同意（响应文件需附人员名单及相关资格证书复印件、联系方式）。</w:t>
            </w:r>
          </w:p>
          <w:p>
            <w:pPr>
              <w:pStyle w:val="null3"/>
            </w:pPr>
            <w:r>
              <w:rPr>
                <w:rFonts w:ascii="仿宋_GB2312" w:hAnsi="仿宋_GB2312" w:cs="仿宋_GB2312" w:eastAsia="仿宋_GB2312"/>
                <w:sz w:val="21"/>
                <w:color w:val="000000"/>
              </w:rPr>
              <w:t>4、按采购人要求的时间向采购人提交工程监理大纲、监理规划和项目监理实施细则及与工程有关的各类统计报表、施工计划、管理台帐、例会纪要等。服务结束，依照建设工程监理规范标准提供本项目相关所有服务的成果报告及归档资料。</w:t>
            </w:r>
          </w:p>
          <w:p>
            <w:pPr>
              <w:pStyle w:val="null3"/>
            </w:pPr>
            <w:r>
              <w:rPr>
                <w:rFonts w:ascii="仿宋_GB2312" w:hAnsi="仿宋_GB2312" w:cs="仿宋_GB2312" w:eastAsia="仿宋_GB2312"/>
                <w:sz w:val="21"/>
                <w:color w:val="000000"/>
              </w:rPr>
              <w:t>5、审查承包人提交的材料、设备的采购清单及其规格、型号与质量、数量等确认进场材料、设备的质量，组织设备现场开箱检验，防止不合格材料、设备用于工程。</w:t>
            </w:r>
          </w:p>
          <w:p>
            <w:pPr>
              <w:pStyle w:val="null3"/>
            </w:pPr>
            <w:r>
              <w:rPr>
                <w:rFonts w:ascii="仿宋_GB2312" w:hAnsi="仿宋_GB2312" w:cs="仿宋_GB2312" w:eastAsia="仿宋_GB2312"/>
                <w:sz w:val="21"/>
                <w:color w:val="000000"/>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pPr>
            <w:r>
              <w:rPr>
                <w:rFonts w:ascii="仿宋_GB2312" w:hAnsi="仿宋_GB2312" w:cs="仿宋_GB2312" w:eastAsia="仿宋_GB2312"/>
                <w:sz w:val="21"/>
                <w:color w:val="000000"/>
              </w:rPr>
              <w:t>7、按合同工期对施工进度进行控制和检查，定期向采购人报告工程进度情况及建议，控制工程进度。</w:t>
            </w:r>
          </w:p>
          <w:p>
            <w:pPr>
              <w:pStyle w:val="null3"/>
            </w:pPr>
            <w:r>
              <w:rPr>
                <w:rFonts w:ascii="仿宋_GB2312" w:hAnsi="仿宋_GB2312" w:cs="仿宋_GB2312" w:eastAsia="仿宋_GB2312"/>
                <w:sz w:val="21"/>
                <w:color w:val="000000"/>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pPr>
            <w:r>
              <w:rPr>
                <w:rFonts w:ascii="仿宋_GB2312" w:hAnsi="仿宋_GB2312" w:cs="仿宋_GB2312" w:eastAsia="仿宋_GB2312"/>
                <w:sz w:val="21"/>
                <w:color w:val="000000"/>
              </w:rPr>
              <w:t>9、调解采购人与承包人的争议，公平处理有关索赔事宜。</w:t>
            </w:r>
          </w:p>
          <w:p>
            <w:pPr>
              <w:pStyle w:val="null3"/>
            </w:pPr>
            <w:r>
              <w:rPr>
                <w:rFonts w:ascii="仿宋_GB2312" w:hAnsi="仿宋_GB2312" w:cs="仿宋_GB2312" w:eastAsia="仿宋_GB2312"/>
                <w:sz w:val="21"/>
                <w:color w:val="000000"/>
              </w:rPr>
              <w:t>10、组织工程预验收。</w:t>
            </w:r>
          </w:p>
          <w:p>
            <w:pPr>
              <w:pStyle w:val="null3"/>
            </w:pPr>
            <w:r>
              <w:rPr>
                <w:rFonts w:ascii="仿宋_GB2312" w:hAnsi="仿宋_GB2312" w:cs="仿宋_GB2312" w:eastAsia="仿宋_GB2312"/>
                <w:sz w:val="21"/>
                <w:color w:val="000000"/>
              </w:rPr>
              <w:t>11、协助采购人组织各类验收及竣工验收。</w:t>
            </w:r>
          </w:p>
          <w:p>
            <w:pPr>
              <w:pStyle w:val="null3"/>
            </w:pPr>
            <w:r>
              <w:rPr>
                <w:rFonts w:ascii="仿宋_GB2312" w:hAnsi="仿宋_GB2312" w:cs="仿宋_GB2312" w:eastAsia="仿宋_GB2312"/>
                <w:sz w:val="21"/>
                <w:color w:val="000000"/>
              </w:rPr>
              <w:t>12、保修期间，负责检查工程质量状况，组织鉴定质量问题责任，对使用过程中暴露出的施工质量问题负贵督促承包人限期整改，并提供技术指导直至质量合格。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质量要求：</w:t>
            </w:r>
            <w:r>
              <w:rPr>
                <w:rFonts w:ascii="仿宋_GB2312" w:hAnsi="仿宋_GB2312" w:cs="仿宋_GB2312" w:eastAsia="仿宋_GB2312"/>
                <w:sz w:val="21"/>
                <w:color w:val="000000"/>
              </w:rPr>
              <w:t>服务质量：符合现行的国家标准或国家行政部门颁布的法律法规、规章制度等。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款项结算：</w:t>
            </w:r>
            <w:r>
              <w:rPr>
                <w:rFonts w:ascii="仿宋_GB2312" w:hAnsi="仿宋_GB2312" w:cs="仿宋_GB2312" w:eastAsia="仿宋_GB2312"/>
                <w:sz w:val="21"/>
                <w:color w:val="000000"/>
              </w:rPr>
              <w:t>监理合同额根据建设工程结算评审审定金额</w:t>
            </w:r>
            <w:r>
              <w:rPr>
                <w:rFonts w:ascii="仿宋_GB2312" w:hAnsi="仿宋_GB2312" w:cs="仿宋_GB2312" w:eastAsia="仿宋_GB2312"/>
                <w:sz w:val="21"/>
                <w:color w:val="000000"/>
              </w:rPr>
              <w:t>×监理费费率据实结算，结算总金额不超过本项目预算。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费率报价。因系统报价格式原因所涉及的报价，均指百分比费率。监理费预算金额等于监理费率乘以项目工程费用与预备费之和。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特别注意：1、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雁塔区杜邑路流光里C9栋。2、根据《陕西省财政厅关于进一步优化政府采购营商环境有关事项的通知》（陕财办采〔2023〕4号）规定，采购人应在中标通知书发出之日起25日与中标人签订采购合同，因采购系统文件编制有所限制，文件前后不一致以此处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自合同签订之日起，至本项目竣工验收合格且缺陷责任期满止。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合同签订后按预算审定价计算合同额，预付合同额的40%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待工程竣工验收合格支付至预算审定价合同额的70%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待项目评审完成按结算审定价据实结算，支付至实际合同额的95%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剩余5%待工程缺陷责任期满一次性不利息付清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（1）按《中华人民共和国民法典》中的相关条款执行。（2）按合同要求执行。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用费率报价。因系统报价格式原因所涉及的报价，均指百分比费率。监理费预算金额等于监理费率乘以项目工程费用与预备费之和。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特别注意：1、参与本项目采购的供应商应通过陕西省政府采购综合管理平台的项目电子化交易系统在线实施响应、磋商、报价等操作，磋商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雁塔区杜邑路流光里C9栋。2、根据《陕西省财政厅关于进一步优化政府采购营商环境有关事项的通知》（陕财办采〔2023〕4号）规定，采购人应在中标通知书发出之日起25日与中标人签订采购合同，因采购系统文件编制有所限制，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供应商应具备建设行政主管部门颁发的工程监理综合资质或市政公用工程监理丙级及以上资质；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供应商拟派项目总监理工程师须具备市政公用工程专业国家注册监理工程师资格，且在本单位注册；</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供应商基本信息及项目负责人的基本信息在“陕西省住房和城乡建设厅（http://js.shaanxi.gov.cn/）”或“全国建筑市场监管公共服务平台（https://jzsc.mohurd.gov.cn/）”可查询。</w:t>
            </w:r>
          </w:p>
        </w:tc>
        <w:tc>
          <w:tcPr>
            <w:tcW w:type="dxa" w:w="3322"/>
          </w:tcPr>
          <w:p>
            <w:pPr>
              <w:pStyle w:val="null3"/>
            </w:pPr>
            <w:r>
              <w:rPr>
                <w:rFonts w:ascii="仿宋_GB2312" w:hAnsi="仿宋_GB2312" w:cs="仿宋_GB2312" w:eastAsia="仿宋_GB2312"/>
              </w:rPr>
              <w:t>供应商基本信息及项目负责人的基本信息在“陕西省住房和城乡建设厅（http://js.shaanxi.gov.cn/）”或“全国建筑市场监管公共服务平台（https://jzsc.mohurd.gov.cn/）”可查询。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首次响应文件进行初步审查，包括响应文件的有效性、完整性、响应性。除可变动的技术、服务要求以及合同草案条款外，首次提交的响应文件有下列情况之一，其响应文件无效，磋商小组应当告知有关供应商。 (1)未按照磋商文件规定要求签署、盖章的； (2)与项目的一致性：至少以下三处的项目名称、项目编号与本项目完全一致： 1）响应文件封面 2）响应函 3）法定代表人（主要负责人）委托授权书/身份证明。（3）只能有一个有效报价，不得提交选择性报价，且报价不超过采购预算金额或最高限价。（4）投标文件内容齐全、无遗漏。（5）响应有效期不足的或无有效期的；（6）应满足招标文件中要求的服务期。（7）其他。完全理解并响应采购文件合同条款的要求，且未含有采购人不能接受的附加条件的。没有出现法律法规或招标文件规定的其他无效情形。</w:t>
            </w:r>
          </w:p>
        </w:tc>
        <w:tc>
          <w:tcPr>
            <w:tcW w:type="dxa" w:w="1661"/>
          </w:tcPr>
          <w:p>
            <w:pPr>
              <w:pStyle w:val="null3"/>
            </w:pPr>
            <w:r>
              <w:rPr>
                <w:rFonts w:ascii="仿宋_GB2312" w:hAnsi="仿宋_GB2312" w:cs="仿宋_GB2312" w:eastAsia="仿宋_GB2312"/>
              </w:rPr>
              <w:t>响应文件封面 首轮报价表 标的清单 响应函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监理工作目标及依据</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目标明确和可行性强，能够保障项目顺利实施的得3-5分；基本符合项目实际情况及实施要求，内容较详细，涵盖角度较全面，基本合理可行的得1-3分；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监理工作实施方案</w:t>
            </w:r>
          </w:p>
        </w:tc>
        <w:tc>
          <w:tcPr>
            <w:tcW w:type="dxa" w:w="2492"/>
          </w:tcPr>
          <w:p>
            <w:pPr>
              <w:pStyle w:val="null3"/>
            </w:pPr>
            <w:r>
              <w:rPr>
                <w:rFonts w:ascii="仿宋_GB2312" w:hAnsi="仿宋_GB2312" w:cs="仿宋_GB2312" w:eastAsia="仿宋_GB2312"/>
              </w:rPr>
              <w:t>供应商根据本项目实际需求及特点，制定实施方案。供应商各项评审内容针对本项目编制，符合项目实际情况及实施要求，内容详尽且涵盖角度全面，合理性和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质量控制保障措施（包括重点部位和关键工序）</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进度控制保障措施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施工安全监督管理措施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文明施工、环境保护、治污减霾监督管理措施</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措施合理、可行性强，能够保障项目顺利实施的得3-5分；基本符合项目实际情况及实施要求，内容较详细，涵盖角度较全面，基本合理可行的得1-3分； 基本符合项目实际情况及实施要求，但内容涵盖角度不全面且实施有难度的，得0-1分。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监理资料的管理</w:t>
            </w:r>
          </w:p>
        </w:tc>
        <w:tc>
          <w:tcPr>
            <w:tcW w:type="dxa" w:w="2492"/>
          </w:tcPr>
          <w:p>
            <w:pPr>
              <w:pStyle w:val="null3"/>
            </w:pPr>
            <w:r>
              <w:rPr>
                <w:rFonts w:ascii="仿宋_GB2312" w:hAnsi="仿宋_GB2312" w:cs="仿宋_GB2312" w:eastAsia="仿宋_GB2312"/>
              </w:rPr>
              <w:t>资料管理科学、严谨、高效且能够保障项目顺利实施的得3-5分，资料管理一般、有一定的合理性和可行性的、基本符合项目实际情况及实施要求得1-3分，资料管理不全面且实施有难度的，得0-1分。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保修阶段的服务方案</w:t>
            </w:r>
          </w:p>
        </w:tc>
        <w:tc>
          <w:tcPr>
            <w:tcW w:type="dxa" w:w="2492"/>
          </w:tcPr>
          <w:p>
            <w:pPr>
              <w:pStyle w:val="null3"/>
            </w:pPr>
            <w:r>
              <w:rPr>
                <w:rFonts w:ascii="仿宋_GB2312" w:hAnsi="仿宋_GB2312" w:cs="仿宋_GB2312" w:eastAsia="仿宋_GB2312"/>
              </w:rPr>
              <w:t>供应商各项评审内容针对本项目编制，符合项目实际情况及实施要求，内容详尽且涵盖角度全面，方案合理、可行性强，能够保障项目顺利实施的得3-5分；基本符合项目实际情况及实施要求，内容较详细，涵盖角度较全面，基本合理可行的得1-3分；基本符合项目实际情况及实施要求，但方案涵盖角度不全面且实施有难度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针对项目的保密及廉洁措施，措施内容详细完整有利于项目实施的得3-5分；措施内容满足本项目需求得1-3分；措施内容简单笼统得0-1分。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项目总监</w:t>
            </w:r>
          </w:p>
        </w:tc>
        <w:tc>
          <w:tcPr>
            <w:tcW w:type="dxa" w:w="2492"/>
          </w:tcPr>
          <w:p>
            <w:pPr>
              <w:pStyle w:val="null3"/>
            </w:pPr>
            <w:r>
              <w:rPr>
                <w:rFonts w:ascii="仿宋_GB2312" w:hAnsi="仿宋_GB2312" w:cs="仿宋_GB2312" w:eastAsia="仿宋_GB2312"/>
              </w:rPr>
              <w:t>1.项目总监职称（2分）：项目总监具备工程类高级职称得2分，中级职称得0.5分，其他情况不得分。以供应商提供的项目总监职称证书复印件或扫描件为准。 2.项目总监学历（2分）：具有本科及以上学历得2分，其他情况不得分。以供应商提供的项目总监学历证书复印件或扫描件为准。 3.项目总监业绩（4分）：项目总监承接过的2022年1月1日至今市政工程监理业绩，每提供一项得2分，最高4分。（以合同签订时间为准，需提供合同关键页复印件，同时须体现项目负责人姓名，否则不予认可）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拟派监理人员配备</w:t>
            </w:r>
          </w:p>
        </w:tc>
        <w:tc>
          <w:tcPr>
            <w:tcW w:type="dxa" w:w="2492"/>
          </w:tcPr>
          <w:p>
            <w:pPr>
              <w:pStyle w:val="null3"/>
            </w:pPr>
            <w:r>
              <w:rPr>
                <w:rFonts w:ascii="仿宋_GB2312" w:hAnsi="仿宋_GB2312" w:cs="仿宋_GB2312" w:eastAsia="仿宋_GB2312"/>
              </w:rPr>
              <w:t>监理人员配备：1.拟派本项目监理人员安排合理，不得少于3人，需包括总监理工程师、安全负责人、专业监理工程师等，满足此条件得6分；每增加一名专业监理工程师得1分，最高2分。注：提供在本单位注册的有效资格证书及开标前一年内至少3个月的社保缴纳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供应商提供2022年1月1日至今承接过的市政类监理业绩（以合同签订时间为准，需提供合同关键页复印件），每提供一项得3分，满分9分。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