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版本号：SXLX25-01-053Z(F)20250604001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红旗铁路专用线片区更新改造项目(红旗铁路公园)电力架空线落地工程监理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SXLX25-01-053Z(F)</w:t>
      </w:r>
      <w:r>
        <w:br/>
      </w:r>
      <w:r>
        <w:br/>
      </w:r>
      <w:r>
        <w:br/>
      </w:r>
    </w:p>
    <w:p>
      <w:pPr>
        <w:pStyle w:val="null3"/>
        <w:jc w:val="center"/>
        <w:outlineLvl w:val="2"/>
      </w:pPr>
      <w:r>
        <w:rPr>
          <w:rFonts w:ascii="仿宋_GB2312" w:hAnsi="仿宋_GB2312" w:cs="仿宋_GB2312" w:eastAsia="仿宋_GB2312"/>
          <w:sz w:val="28"/>
          <w:b/>
        </w:rPr>
        <w:t>西安市未央区住房和城市建设局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西安市未央区住房和城市建设局</w:t>
      </w:r>
      <w:r>
        <w:rPr>
          <w:rFonts w:ascii="仿宋_GB2312" w:hAnsi="仿宋_GB2312" w:cs="仿宋_GB2312" w:eastAsia="仿宋_GB2312"/>
        </w:rPr>
        <w:t>委托，拟对</w:t>
      </w:r>
      <w:r>
        <w:rPr>
          <w:rFonts w:ascii="仿宋_GB2312" w:hAnsi="仿宋_GB2312" w:cs="仿宋_GB2312" w:eastAsia="仿宋_GB2312"/>
        </w:rPr>
        <w:t>红旗铁路专用线片区更新改造项目(红旗铁路公园)电力架空线落地工程监理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SXLX25-01-053Z(F)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红旗铁路专用线片区更新改造项目(红旗铁路公园)电力架空线落地工程监理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红旗铁路专用线片区更新改造项目(红旗铁路公园)电力架空线落地工程监理；主要功能或目标:包含本项目范围内全部工程的施工准备阶段、施工阶段及保修阶段监理服务，具体包括但不限于项目开展过程中的施工质量、工期、资金使用、安全生产监督管理、竣工验收、保修等全过程监理。满足国家现行规范及采购人要求，保证工程质量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采购包1（红旗铁路专用线片区更新改造项目(红旗铁路公园)电力架空线落地工程监理）：属于专门面向中小企业采购。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部门颁发的工程监理综合资质或市政公用工程专业监理乙级及以上资质（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拟派项目负责人资质要求：供应商拟派项目总监理工程师须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其他要求：供应商基本信息及项目总监的基本信息在“陕西省住房和城乡建设厅”（https://js.shaanxi.gov.cn/）可查询（未按要求提供证明材料或者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西安市未央区龙首北路永祥路9号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029-86263349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采购包1：632,825.00元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展改革委办公厅颁发的《关于招标代理服务收费有关问题的通知》（发改办价格〔2003〕857号）及《关于进一步放开建设项目专项业务服务价格的通知》（发改价格〔2015〕299号）规定的标准收取，不足捌仟圆按捌仟圆收取，具体收费金额将在成交公告中公布，由成交（中标）供应商向乙方支付。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西安市未央区住房和城市建设局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红旗铁路专用线片区更新改造项目(红旗铁路公园)电力架空线落地工程监理；主要功能或目标:包含本项目范围内全部工程的施工准备阶段、施工阶段及保修阶段监理服务，具体包括但不限于项目开展过程中的施工质量、工期、资金使用、安全生产监督管理、竣工验收、保修等全过程监理。满足国家现行规范及采购人要求，保证工程质量合格。</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632,825.00</w:t>
      </w:r>
    </w:p>
    <w:p>
      <w:pPr>
        <w:pStyle w:val="null3"/>
      </w:pPr>
      <w:r>
        <w:rPr>
          <w:rFonts w:ascii="仿宋_GB2312" w:hAnsi="仿宋_GB2312" w:cs="仿宋_GB2312" w:eastAsia="仿宋_GB2312"/>
        </w:rPr>
        <w:t>采购包最高限价（元）: 632,825.00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红旗铁路专用线片区更新改造项目(红旗铁路公园)电力架空线落地工程监理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632,825.00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标的名称：红旗铁路专用线片区更新改造项目(红旗铁路公园)电力架空线落地工程监理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一、服务内容与要求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服务内容</w:t>
            </w:r>
            <w:r>
              <w:rPr>
                <w:rFonts w:ascii="仿宋_GB2312" w:hAnsi="仿宋_GB2312" w:cs="仿宋_GB2312" w:eastAsia="仿宋_GB2312"/>
                <w:sz w:val="21"/>
                <w:b/>
              </w:rPr>
              <w:t>：</w:t>
            </w:r>
            <w:r>
              <w:rPr>
                <w:rFonts w:ascii="仿宋_GB2312" w:hAnsi="仿宋_GB2312" w:cs="仿宋_GB2312" w:eastAsia="仿宋_GB2312"/>
                <w:sz w:val="21"/>
              </w:rPr>
              <w:t>根据服务区域划分责任范围，落实责任人，对</w:t>
            </w:r>
            <w:r>
              <w:rPr>
                <w:rFonts w:ascii="仿宋_GB2312" w:hAnsi="仿宋_GB2312" w:cs="仿宋_GB2312" w:eastAsia="仿宋_GB2312"/>
                <w:sz w:val="21"/>
              </w:rPr>
              <w:t>红旗铁路专用线片区更新改造项目</w:t>
            </w:r>
            <w:r>
              <w:rPr>
                <w:rFonts w:ascii="仿宋_GB2312" w:hAnsi="仿宋_GB2312" w:cs="仿宋_GB2312" w:eastAsia="仿宋_GB2312"/>
                <w:sz w:val="21"/>
              </w:rPr>
              <w:t>(</w:t>
            </w:r>
            <w:r>
              <w:rPr>
                <w:rFonts w:ascii="仿宋_GB2312" w:hAnsi="仿宋_GB2312" w:cs="仿宋_GB2312" w:eastAsia="仿宋_GB2312"/>
                <w:sz w:val="21"/>
              </w:rPr>
              <w:t>红旗铁路公园</w:t>
            </w:r>
            <w:r>
              <w:rPr>
                <w:rFonts w:ascii="仿宋_GB2312" w:hAnsi="仿宋_GB2312" w:cs="仿宋_GB2312" w:eastAsia="仿宋_GB2312"/>
                <w:sz w:val="21"/>
              </w:rPr>
              <w:t>)</w:t>
            </w:r>
            <w:r>
              <w:rPr>
                <w:rFonts w:ascii="仿宋_GB2312" w:hAnsi="仿宋_GB2312" w:cs="仿宋_GB2312" w:eastAsia="仿宋_GB2312"/>
                <w:sz w:val="21"/>
              </w:rPr>
              <w:t>电力架空线落地工程</w:t>
            </w:r>
            <w:r>
              <w:rPr>
                <w:rFonts w:ascii="仿宋_GB2312" w:hAnsi="仿宋_GB2312" w:cs="仿宋_GB2312" w:eastAsia="仿宋_GB2312"/>
                <w:sz w:val="21"/>
              </w:rPr>
              <w:t>施工阶段及保修阶段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w:t>
            </w:r>
            <w:r>
              <w:rPr>
                <w:rFonts w:ascii="仿宋_GB2312" w:hAnsi="仿宋_GB2312" w:cs="仿宋_GB2312" w:eastAsia="仿宋_GB2312"/>
                <w:sz w:val="21"/>
              </w:rPr>
              <w:t>，</w:t>
            </w:r>
            <w:r>
              <w:rPr>
                <w:rFonts w:ascii="仿宋_GB2312" w:hAnsi="仿宋_GB2312" w:cs="仿宋_GB2312" w:eastAsia="仿宋_GB2312"/>
                <w:sz w:val="21"/>
              </w:rPr>
              <w:t>具体</w:t>
            </w:r>
            <w:r>
              <w:rPr>
                <w:rFonts w:ascii="仿宋_GB2312" w:hAnsi="仿宋_GB2312" w:cs="仿宋_GB2312" w:eastAsia="仿宋_GB2312"/>
                <w:sz w:val="21"/>
              </w:rPr>
              <w:t>服务内容</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rPr>
                <w:rFonts w:ascii="仿宋_GB2312" w:hAnsi="仿宋_GB2312" w:cs="仿宋_GB2312" w:eastAsia="仿宋_GB2312"/>
                <w:sz w:val="21"/>
              </w:rPr>
              <w:t>如下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(1)在工程开工前，参与施工图设计审查；</w:t>
            </w:r>
          </w:p>
          <w:p>
            <w:pPr>
              <w:pStyle w:val="null3"/>
              <w:ind w:firstLine="420"/>
              <w:jc w:val="both"/>
            </w:pPr>
            <w:r>
              <w:rPr>
                <w:rFonts w:ascii="仿宋_GB2312" w:hAnsi="仿宋_GB2312" w:cs="仿宋_GB2312" w:eastAsia="仿宋_GB2312"/>
                <w:sz w:val="21"/>
              </w:rPr>
              <w:t>(2)协助采购人进行图纸、资料的管理，协助采购人与承包人签订建设工程施工合同；</w:t>
            </w:r>
          </w:p>
          <w:p>
            <w:pPr>
              <w:pStyle w:val="null3"/>
              <w:ind w:firstLine="420"/>
              <w:jc w:val="both"/>
            </w:pPr>
            <w:r>
              <w:rPr>
                <w:rFonts w:ascii="仿宋_GB2312" w:hAnsi="仿宋_GB2312" w:cs="仿宋_GB2312" w:eastAsia="仿宋_GB2312"/>
                <w:sz w:val="21"/>
              </w:rPr>
              <w:t>(3)参加施工图设计交底和图纸会审，配合采购人召开工程外部关系协调会主持监理例会，审查承包人的施工组织设计、技术方案和工程进度计划，经采购人审定后签发执行，审批单位工程施工开工令；</w:t>
            </w:r>
          </w:p>
          <w:p>
            <w:pPr>
              <w:pStyle w:val="null3"/>
              <w:ind w:firstLine="420"/>
              <w:jc w:val="both"/>
            </w:pPr>
            <w:r>
              <w:rPr>
                <w:rFonts w:ascii="仿宋_GB2312" w:hAnsi="仿宋_GB2312" w:cs="仿宋_GB2312" w:eastAsia="仿宋_GB2312"/>
                <w:sz w:val="21"/>
              </w:rPr>
              <w:t>(4)按采购人要求的时间向采购人提交工程监理大纲、监理规划和项目监理实施细则及与工程有关的各类统计报表、施工计划、管理台账、例会纪要等；</w:t>
            </w:r>
          </w:p>
          <w:p>
            <w:pPr>
              <w:pStyle w:val="null3"/>
              <w:ind w:firstLine="420"/>
              <w:jc w:val="both"/>
            </w:pPr>
            <w:r>
              <w:rPr>
                <w:rFonts w:ascii="仿宋_GB2312" w:hAnsi="仿宋_GB2312" w:cs="仿宋_GB2312" w:eastAsia="仿宋_GB2312"/>
                <w:sz w:val="21"/>
              </w:rPr>
              <w:t>(5)审查承包人提交的材料、设备的采购清单及其规格、型号与质量、数量等确认进场材料、设备的质量，组织设备现场开箱检验，防止不合格材料、设备用于工程；</w:t>
            </w:r>
          </w:p>
          <w:p>
            <w:pPr>
              <w:pStyle w:val="null3"/>
              <w:ind w:firstLine="420"/>
              <w:jc w:val="both"/>
            </w:pPr>
            <w:r>
              <w:rPr>
                <w:rFonts w:ascii="仿宋_GB2312" w:hAnsi="仿宋_GB2312" w:cs="仿宋_GB2312" w:eastAsia="仿宋_GB2312"/>
                <w:sz w:val="21"/>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420"/>
              <w:jc w:val="both"/>
            </w:pPr>
            <w:r>
              <w:rPr>
                <w:rFonts w:ascii="仿宋_GB2312" w:hAnsi="仿宋_GB2312" w:cs="仿宋_GB2312" w:eastAsia="仿宋_GB2312"/>
                <w:sz w:val="21"/>
              </w:rPr>
              <w:t>(7)按合同工期对施工进度进行控制和检查，定期向采购人报告工程进度情况及建议，控制工程进度；</w:t>
            </w:r>
          </w:p>
          <w:p>
            <w:pPr>
              <w:pStyle w:val="null3"/>
              <w:ind w:firstLine="420"/>
              <w:jc w:val="both"/>
            </w:pPr>
            <w:r>
              <w:rPr>
                <w:rFonts w:ascii="仿宋_GB2312" w:hAnsi="仿宋_GB2312" w:cs="仿宋_GB2312" w:eastAsia="仿宋_GB2312"/>
                <w:sz w:val="21"/>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ind w:firstLine="420"/>
              <w:jc w:val="both"/>
            </w:pPr>
            <w:r>
              <w:rPr>
                <w:rFonts w:ascii="仿宋_GB2312" w:hAnsi="仿宋_GB2312" w:cs="仿宋_GB2312" w:eastAsia="仿宋_GB2312"/>
                <w:sz w:val="21"/>
              </w:rPr>
              <w:t>(9)调解采购人与承包人的争议，公平处理有关索赔事宜；</w:t>
            </w:r>
          </w:p>
          <w:p>
            <w:pPr>
              <w:pStyle w:val="null3"/>
              <w:ind w:firstLine="420"/>
              <w:jc w:val="both"/>
            </w:pPr>
            <w:r>
              <w:rPr>
                <w:rFonts w:ascii="仿宋_GB2312" w:hAnsi="仿宋_GB2312" w:cs="仿宋_GB2312" w:eastAsia="仿宋_GB2312"/>
                <w:sz w:val="21"/>
              </w:rPr>
              <w:t>(10)组织工程预验收；</w:t>
            </w:r>
          </w:p>
          <w:p>
            <w:pPr>
              <w:pStyle w:val="null3"/>
              <w:ind w:firstLine="420"/>
              <w:jc w:val="both"/>
            </w:pPr>
            <w:r>
              <w:rPr>
                <w:rFonts w:ascii="仿宋_GB2312" w:hAnsi="仿宋_GB2312" w:cs="仿宋_GB2312" w:eastAsia="仿宋_GB2312"/>
                <w:sz w:val="21"/>
              </w:rPr>
              <w:t>(11)协助采购人组织各类验收及竣工验收；</w:t>
            </w:r>
          </w:p>
          <w:p>
            <w:pPr>
              <w:pStyle w:val="null3"/>
              <w:ind w:firstLine="420"/>
              <w:jc w:val="both"/>
            </w:pPr>
            <w:r>
              <w:rPr>
                <w:rFonts w:ascii="仿宋_GB2312" w:hAnsi="仿宋_GB2312" w:cs="仿宋_GB2312" w:eastAsia="仿宋_GB2312"/>
                <w:sz w:val="21"/>
              </w:rPr>
              <w:t>(12)保修期间，负责检查工程质量状况，组织鉴定质量问题责任，对使用过程中暴露出的施工质量问题负责督促承包人限期整改，并提供技术指导直至质量合格；</w:t>
            </w:r>
          </w:p>
          <w:p>
            <w:pPr>
              <w:pStyle w:val="null3"/>
              <w:ind w:firstLine="420"/>
              <w:jc w:val="both"/>
            </w:pPr>
            <w:r>
              <w:rPr>
                <w:rFonts w:ascii="仿宋_GB2312" w:hAnsi="仿宋_GB2312" w:cs="仿宋_GB2312" w:eastAsia="仿宋_GB2312"/>
                <w:sz w:val="21"/>
              </w:rPr>
              <w:t>(13)审查施工组织设计中的安全技术措施或者专项施工方案是否符合工程建设强制性标准；</w:t>
            </w:r>
          </w:p>
          <w:p>
            <w:pPr>
              <w:pStyle w:val="null3"/>
              <w:ind w:firstLine="420"/>
              <w:jc w:val="both"/>
            </w:pPr>
            <w:r>
              <w:rPr>
                <w:rFonts w:ascii="仿宋_GB2312" w:hAnsi="仿宋_GB2312" w:cs="仿宋_GB2312" w:eastAsia="仿宋_GB2312"/>
                <w:sz w:val="21"/>
              </w:rPr>
              <w:t>(14)对分包人的分包内容及分包人资质进行审查，并对分包人使用的材料、施工工艺、工程质量和进度进行监督；</w:t>
            </w:r>
          </w:p>
          <w:p>
            <w:pPr>
              <w:pStyle w:val="null3"/>
              <w:ind w:firstLine="420"/>
              <w:jc w:val="both"/>
            </w:pPr>
            <w:r>
              <w:rPr>
                <w:rFonts w:ascii="仿宋_GB2312" w:hAnsi="仿宋_GB2312" w:cs="仿宋_GB2312" w:eastAsia="仿宋_GB2312"/>
                <w:sz w:val="21"/>
              </w:rPr>
              <w:t>(15)其他内容:建设工程监理规范中规定的其他相关监理工作。</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工程</w:t>
            </w:r>
            <w:r>
              <w:rPr>
                <w:rFonts w:ascii="仿宋_GB2312" w:hAnsi="仿宋_GB2312" w:cs="仿宋_GB2312" w:eastAsia="仿宋_GB2312"/>
                <w:sz w:val="21"/>
                <w:b/>
              </w:rPr>
              <w:t>建设</w:t>
            </w:r>
            <w:r>
              <w:rPr>
                <w:rFonts w:ascii="仿宋_GB2312" w:hAnsi="仿宋_GB2312" w:cs="仿宋_GB2312" w:eastAsia="仿宋_GB2312"/>
                <w:sz w:val="21"/>
                <w:b/>
              </w:rPr>
              <w:t>规模</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）白桦林路</w:t>
            </w:r>
            <w:r>
              <w:rPr>
                <w:rFonts w:ascii="仿宋_GB2312" w:hAnsi="仿宋_GB2312" w:cs="仿宋_GB2312" w:eastAsia="仿宋_GB2312"/>
                <w:sz w:val="21"/>
              </w:rPr>
              <w:t>-含元路段，新建3×3根φ200/7WPFCT电缆保护管顺着公园东侧红线敷设，电力排管采用混凝土包封，共计298米。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）含元路段</w:t>
            </w:r>
            <w:r>
              <w:rPr>
                <w:rFonts w:ascii="仿宋_GB2312" w:hAnsi="仿宋_GB2312" w:cs="仿宋_GB2312" w:eastAsia="仿宋_GB2312"/>
                <w:sz w:val="21"/>
              </w:rPr>
              <w:t>-太康路段，新建1.8×2.0米钢筋砼电力管沟用于110kV及10kV电力电缆敷设（过含元路采用直径2.0米III级钢筋砼管，顶管施工，L=87米），长度共计1261米。共设顶管井、工作井各1座，顶管工作井平面净尺寸6.0×8.0米；接收井1座，平面净尺寸6.0×6.0米。顶管工作井、接收井均采用钢筋混凝土结构，均采用逆作法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）太康路段</w:t>
            </w:r>
            <w:r>
              <w:rPr>
                <w:rFonts w:ascii="仿宋_GB2312" w:hAnsi="仿宋_GB2312" w:cs="仿宋_GB2312" w:eastAsia="仿宋_GB2312"/>
                <w:sz w:val="21"/>
              </w:rPr>
              <w:t>-二环北路段新建4×5根φ200/7WPFCT电缆保护管用以10kV电力电缆敷设；电力排管采用混凝土包封，共计1233米。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）二环北路</w:t>
            </w:r>
            <w:r>
              <w:rPr>
                <w:rFonts w:ascii="仿宋_GB2312" w:hAnsi="仿宋_GB2312" w:cs="仿宋_GB2312" w:eastAsia="仿宋_GB2312"/>
                <w:sz w:val="21"/>
              </w:rPr>
              <w:t>-永明路段新建2×3根φ200/7WPFCT电缆保护管用以10kV电力电缆敷设；电力排管采用混凝土包封，共计228米。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）拆除红旗铁路公园内的全部电力架空线（包含电杆及高压铁塔拆除等），在新建电力通道内进行</w:t>
            </w:r>
            <w:r>
              <w:rPr>
                <w:rFonts w:ascii="仿宋_GB2312" w:hAnsi="仿宋_GB2312" w:cs="仿宋_GB2312" w:eastAsia="仿宋_GB2312"/>
                <w:sz w:val="21"/>
              </w:rPr>
              <w:t>110kV及10kV电力电缆敷设、同时进行箱变环网柜设备等安装。本工程110kV电缆敷设长度共计约10800米，10kV电缆敷设长度共计约11718米。</w:t>
            </w:r>
          </w:p>
          <w:p>
            <w:pPr>
              <w:pStyle w:val="null3"/>
              <w:ind w:firstLine="422"/>
              <w:jc w:val="left"/>
            </w:pPr>
            <w:r>
              <w:rPr>
                <w:rFonts w:ascii="仿宋_GB2312" w:hAnsi="仿宋_GB2312" w:cs="仿宋_GB2312" w:eastAsia="仿宋_GB2312"/>
                <w:sz w:val="21"/>
                <w:b/>
              </w:rPr>
              <w:t>1.3技术要求</w:t>
            </w:r>
            <w:r>
              <w:rPr>
                <w:rFonts w:ascii="仿宋_GB2312" w:hAnsi="仿宋_GB2312" w:cs="仿宋_GB2312" w:eastAsia="仿宋_GB2312"/>
                <w:sz w:val="21"/>
                <w:b/>
              </w:rPr>
              <w:t>：</w:t>
            </w:r>
            <w:r>
              <w:rPr>
                <w:rFonts w:ascii="仿宋_GB2312" w:hAnsi="仿宋_GB2312" w:cs="仿宋_GB2312" w:eastAsia="仿宋_GB2312"/>
                <w:sz w:val="21"/>
              </w:rPr>
              <w:t>要求采取科学、针对性强的管理方案，保证在相关的国家、省、市（行业）标准、规范及西安市地方现行相关规范及行业标准制约的前提下做好项目的质量控制、进度控制、投资控制、合同信息管理、组织协调、重点部位关键工序控制等方面工作。</w:t>
            </w:r>
          </w:p>
          <w:p>
            <w:pPr>
              <w:pStyle w:val="null3"/>
              <w:ind w:firstLine="422"/>
              <w:jc w:val="both"/>
            </w:pPr>
            <w:r>
              <w:rPr>
                <w:rFonts w:ascii="仿宋_GB2312" w:hAnsi="仿宋_GB2312" w:cs="仿宋_GB2312" w:eastAsia="仿宋_GB2312"/>
                <w:sz w:val="21"/>
                <w:b/>
              </w:rPr>
              <w:t>1.4</w:t>
            </w:r>
            <w:r>
              <w:rPr>
                <w:rFonts w:ascii="仿宋_GB2312" w:hAnsi="仿宋_GB2312" w:cs="仿宋_GB2312" w:eastAsia="仿宋_GB2312"/>
                <w:sz w:val="21"/>
                <w:b/>
              </w:rPr>
              <w:t>进度要求：</w:t>
            </w:r>
            <w:r>
              <w:rPr>
                <w:rFonts w:ascii="仿宋_GB2312" w:hAnsi="仿宋_GB2312" w:cs="仿宋_GB2312" w:eastAsia="仿宋_GB2312"/>
                <w:sz w:val="21"/>
              </w:rPr>
              <w:t>通过采取组织、技术、经济、合同相关控制措施将项目实施进度控制在</w:t>
            </w:r>
            <w:r>
              <w:rPr>
                <w:rFonts w:ascii="仿宋_GB2312" w:hAnsi="仿宋_GB2312" w:cs="仿宋_GB2312" w:eastAsia="仿宋_GB2312"/>
                <w:sz w:val="21"/>
              </w:rPr>
              <w:t>采购人</w:t>
            </w:r>
            <w:r>
              <w:rPr>
                <w:rFonts w:ascii="仿宋_GB2312" w:hAnsi="仿宋_GB2312" w:cs="仿宋_GB2312" w:eastAsia="仿宋_GB2312"/>
                <w:sz w:val="21"/>
              </w:rPr>
              <w:t>所要求的合理时间节点内。</w:t>
            </w:r>
          </w:p>
          <w:p>
            <w:pPr>
              <w:pStyle w:val="null3"/>
              <w:ind w:firstLine="422"/>
              <w:jc w:val="both"/>
            </w:pPr>
            <w:r>
              <w:rPr>
                <w:rFonts w:ascii="仿宋_GB2312" w:hAnsi="仿宋_GB2312" w:cs="仿宋_GB2312" w:eastAsia="仿宋_GB2312"/>
                <w:sz w:val="21"/>
                <w:b/>
              </w:rPr>
              <w:t>1.5服务要求：</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）服务方应当按照</w:t>
            </w:r>
            <w:r>
              <w:rPr>
                <w:rFonts w:ascii="仿宋_GB2312" w:hAnsi="仿宋_GB2312" w:cs="仿宋_GB2312" w:eastAsia="仿宋_GB2312"/>
                <w:sz w:val="21"/>
              </w:rPr>
              <w:t>法律法规</w:t>
            </w:r>
            <w:r>
              <w:rPr>
                <w:rFonts w:ascii="仿宋_GB2312" w:hAnsi="仿宋_GB2312" w:cs="仿宋_GB2312" w:eastAsia="仿宋_GB2312"/>
                <w:sz w:val="21"/>
              </w:rPr>
              <w:t>和工程建设强制性标准实施监理；监理服务质量目标：达到《市政工程施工质量验收统一标准》合格标准，并对建设工程安全生产承担监理责任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）严格执行国家有关法律法规、监理规范和规程以及有关规定及相关行业标准的规定，并符合甲方制定的各项安全、环保、生产指标</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）服务过程中，严格遵守各种管理规定及规章制度，做到安全文明；如发生工伤及意外事故由服务方单位负责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）严格按照国家、陕西省有关规定及采购人要求进行服务，不得随意更改或者变换服务内容，每项服务内容实施前应事先取得采购人的落实后方可实施</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）服务方应在收到工程设计文件后编制监理规划和监理工作计划</w:t>
            </w:r>
            <w:r>
              <w:rPr>
                <w:rFonts w:ascii="仿宋_GB2312" w:hAnsi="仿宋_GB2312" w:cs="仿宋_GB2312" w:eastAsia="仿宋_GB2312"/>
                <w:sz w:val="21"/>
              </w:rPr>
              <w:t>,并按进度分专业编制工程建设监理实施细则，在开工前报送采购人方。服务方应进驻工程施工现场，按采购人书面同意的监理规划和监理实施细则开展工作，并及时向采购人提交监理工作周报、月报、监理工作总结，监理规划(监理实施细则)提前提报，监理月报于每月定时汇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）服务方应熟悉工程设计文件，并参加采购人主持的图纸会审和设计交底会议</w:t>
            </w:r>
            <w:r>
              <w:rPr>
                <w:rFonts w:ascii="仿宋_GB2312" w:hAnsi="仿宋_GB2312" w:cs="仿宋_GB2312" w:eastAsia="仿宋_GB2312"/>
                <w:sz w:val="21"/>
              </w:rPr>
              <w:t>；</w:t>
            </w:r>
            <w:r>
              <w:rPr>
                <w:rFonts w:ascii="仿宋_GB2312" w:hAnsi="仿宋_GB2312" w:cs="仿宋_GB2312" w:eastAsia="仿宋_GB2312"/>
                <w:sz w:val="21"/>
              </w:rPr>
              <w:t>主持监理例会并根据工程需要主持或参加专题会议</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服务方应对承包单位报送的竣工资料进行审查，并于工程完成通过预验收出具工程质量评估报告，按照采购人的通知及时参加并协助采购人做好工程竣工预验收、竣工验收，签署监理单位意见，出具相关评估报告或验收报告</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）服务方履约期内应在现场保留工作所用的图纸、报告及记录监理工作的相关文件；服务结束，提供本项目相关所有服务的成果报告及归档资料。</w:t>
            </w:r>
          </w:p>
          <w:p>
            <w:pPr>
              <w:pStyle w:val="null3"/>
              <w:ind w:firstLine="422"/>
              <w:jc w:val="left"/>
            </w:pPr>
            <w:r>
              <w:rPr>
                <w:rFonts w:ascii="仿宋_GB2312" w:hAnsi="仿宋_GB2312" w:cs="仿宋_GB2312" w:eastAsia="仿宋_GB2312"/>
                <w:sz w:val="21"/>
                <w:b/>
              </w:rPr>
              <w:t>1.6</w:t>
            </w:r>
            <w:r>
              <w:rPr>
                <w:rFonts w:ascii="仿宋_GB2312" w:hAnsi="仿宋_GB2312" w:cs="仿宋_GB2312" w:eastAsia="仿宋_GB2312"/>
                <w:sz w:val="21"/>
                <w:b/>
              </w:rPr>
              <w:t>质量标准及要求</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1）适用的法律、行政法规及部门规章</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2）适用《市政工程施工质量验收统一标准》合格标准或其他工程施工有关的标准和规范</w:t>
            </w:r>
            <w:r>
              <w:rPr>
                <w:rFonts w:ascii="仿宋_GB2312" w:hAnsi="仿宋_GB2312" w:cs="仿宋_GB2312" w:eastAsia="仿宋_GB2312"/>
                <w:sz w:val="21"/>
              </w:rPr>
              <w:t>、</w:t>
            </w:r>
            <w:r>
              <w:rPr>
                <w:rFonts w:ascii="仿宋_GB2312" w:hAnsi="仿宋_GB2312" w:cs="仿宋_GB2312" w:eastAsia="仿宋_GB2312"/>
                <w:sz w:val="21"/>
              </w:rPr>
              <w:t>工程设计及有关文件</w:t>
            </w:r>
            <w:r>
              <w:rPr>
                <w:rFonts w:ascii="仿宋_GB2312" w:hAnsi="仿宋_GB2312" w:cs="仿宋_GB2312" w:eastAsia="仿宋_GB2312"/>
                <w:sz w:val="21"/>
              </w:rPr>
              <w:t>、</w:t>
            </w:r>
            <w:r>
              <w:rPr>
                <w:rFonts w:ascii="仿宋_GB2312" w:hAnsi="仿宋_GB2312" w:cs="仿宋_GB2312" w:eastAsia="仿宋_GB2312"/>
                <w:sz w:val="21"/>
              </w:rPr>
              <w:t>工程监理规范和规程</w:t>
            </w:r>
            <w:r>
              <w:rPr>
                <w:rFonts w:ascii="仿宋_GB2312" w:hAnsi="仿宋_GB2312" w:cs="仿宋_GB2312" w:eastAsia="仿宋_GB2312"/>
                <w:sz w:val="21"/>
              </w:rPr>
              <w:t>、</w:t>
            </w:r>
            <w:r>
              <w:rPr>
                <w:rFonts w:ascii="仿宋_GB2312" w:hAnsi="仿宋_GB2312" w:cs="仿宋_GB2312" w:eastAsia="仿宋_GB2312"/>
                <w:sz w:val="21"/>
              </w:rPr>
              <w:t>建设工程监理合同以及建设单位与第三方签订的与实施工程有关的其他合同；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）国家及地方制定的各项安全、环保、生产指标及制度标准；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）各项服务符合</w:t>
            </w:r>
            <w:r>
              <w:rPr>
                <w:rFonts w:ascii="仿宋_GB2312" w:hAnsi="仿宋_GB2312" w:cs="仿宋_GB2312" w:eastAsia="仿宋_GB2312"/>
                <w:sz w:val="21"/>
              </w:rPr>
              <w:t>国家、省、市（行业）强制</w:t>
            </w:r>
            <w:r>
              <w:rPr>
                <w:rFonts w:ascii="仿宋_GB2312" w:hAnsi="仿宋_GB2312" w:cs="仿宋_GB2312" w:eastAsia="仿宋_GB2312"/>
                <w:sz w:val="21"/>
              </w:rPr>
              <w:t>性标准及采购人要求的合格标准。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服务、产品（如有）执行的标准、规范：必须执行国家、行业强制性标准；没有国家、行业强制性标准的按</w:t>
            </w:r>
            <w:r>
              <w:rPr>
                <w:rFonts w:ascii="仿宋_GB2312" w:hAnsi="仿宋_GB2312" w:cs="仿宋_GB2312" w:eastAsia="仿宋_GB2312"/>
                <w:sz w:val="21"/>
              </w:rPr>
              <w:t>①国家标准、规范→②行业标准、规范→③地方标准、规范→④团体标准、规范→⑤企业标准、规范类推顺序执行；凡涉及的相关规范，国家有最新标准的以最新标准为准</w:t>
            </w:r>
            <w:r>
              <w:rPr>
                <w:rFonts w:ascii="仿宋_GB2312" w:hAnsi="仿宋_GB2312" w:cs="仿宋_GB2312" w:eastAsia="仿宋_GB2312"/>
                <w:sz w:val="21"/>
              </w:rPr>
              <w:t>，</w:t>
            </w:r>
            <w:r>
              <w:rPr>
                <w:rFonts w:ascii="仿宋_GB2312" w:hAnsi="仿宋_GB2312" w:cs="仿宋_GB2312" w:eastAsia="仿宋_GB2312"/>
                <w:sz w:val="21"/>
              </w:rPr>
              <w:t>所有标准哪个标准高执行哪个标准。</w:t>
            </w:r>
          </w:p>
          <w:p>
            <w:pPr>
              <w:pStyle w:val="null3"/>
              <w:ind w:firstLine="422"/>
              <w:jc w:val="left"/>
            </w:pPr>
            <w:r>
              <w:rPr>
                <w:rFonts w:ascii="仿宋_GB2312" w:hAnsi="仿宋_GB2312" w:cs="仿宋_GB2312" w:eastAsia="仿宋_GB2312"/>
                <w:sz w:val="21"/>
                <w:b/>
              </w:rPr>
              <w:t>二、其他要求或说明</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本项目所属行业为</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其他未列明行业</w:t>
            </w:r>
            <w:r>
              <w:rPr>
                <w:rFonts w:ascii="仿宋_GB2312" w:hAnsi="仿宋_GB2312" w:cs="仿宋_GB2312" w:eastAsia="仿宋_GB2312"/>
                <w:sz w:val="21"/>
              </w:rPr>
              <w:t>（从业人员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（1）依照建设工程监理规范标准提交相应监理资料。（2）所有资料提供纸质版及电子版。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 个月（具体监理服务期与施工工期同步，自开工之日起至工程保修期满为止；施工工期延长的，施工和保修阶段监理服务期均顺延）。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的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经相关部门结算审核后（按费率据实结算）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监理费、设备使用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提供原件的扫描件或电子证照，供应商需在项目电子化交易系统中按采购文件中的附件“资格证明文件”格式要求上传相关证明资料并进行电子签章。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提交响应文件截止时间前1年内已缴纳任意时段完税（任意税种，个人所得税除外）凭证或税务机关开具的完税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响应截止时间前1年内已缴存的任意时段的社会保障资金缴存单据或社保机构开具的社会保险参保缴费情况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提供具备履行合同所必需的设备和专业技术能力的证明材料，供应商需在项目电子化交易系统中按采购文件中的附件“资格证明文件”格式要求上传相关证明资料并进行电子签章。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工程监理综合资质或市政公用工程专业监理乙级及以上资质（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供应商拟派项目总监理工程师须具备市政公用工程专业注册监理工程师资格，在本单位注册，如拟派项目总监理工程师有在监项目，不得超过2个（含2个），且须出具在监项目建设单位书面同意书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总监的基本信息在“陕西省住房和城乡建设厅”（https://js.shaanxi.gov.cn/）可查询（未按要求提供证明材料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报价表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符合拟定合同条款中的约定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根据对监理的①工作程序、②工作方法、③工作制度的响应程度。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注：业务素质证明不限于证书、职称、荣誉、类似业绩等相关经验证明材料。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