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703B22D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autoSpaceDE w:val="0"/>
        <w:autoSpaceDN w:val="0"/>
        <w:adjustRightInd w:val="0"/>
        <w:spacing w:line="360" w:lineRule="auto"/>
        <w:ind w:firstLine="482" w:firstLineChars="200"/>
        <w:outlineLvl w:val="0"/>
        <w:rPr>
          <w:rFonts w:hint="eastAsia" w:ascii="仿宋" w:hAnsi="仿宋" w:eastAsia="仿宋" w:cs="仿宋"/>
          <w:bCs/>
          <w:color w:val="auto"/>
          <w:sz w:val="24"/>
          <w:szCs w:val="24"/>
          <w:highlight w:val="none"/>
        </w:rPr>
      </w:pPr>
      <w:bookmarkStart w:id="0" w:name="_Toc20217"/>
      <w:r>
        <w:rPr>
          <w:rFonts w:hint="eastAsia" w:ascii="仿宋" w:hAnsi="仿宋" w:eastAsia="仿宋" w:cs="仿宋"/>
          <w:b/>
          <w:color w:val="auto"/>
          <w:sz w:val="24"/>
          <w:szCs w:val="24"/>
          <w:highlight w:val="none"/>
        </w:rPr>
        <w:t>一、合同价款</w:t>
      </w:r>
      <w:bookmarkEnd w:id="0"/>
    </w:p>
    <w:p w14:paraId="238302E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autoSpaceDE w:val="0"/>
        <w:autoSpaceDN w:val="0"/>
        <w:adjustRightInd w:val="0"/>
        <w:spacing w:line="360" w:lineRule="auto"/>
        <w:ind w:firstLine="482" w:firstLineChars="200"/>
        <w:outlineLvl w:val="0"/>
        <w:rPr>
          <w:rFonts w:hint="eastAsia" w:ascii="仿宋" w:hAnsi="仿宋" w:eastAsia="仿宋" w:cs="仿宋"/>
          <w:b/>
          <w:color w:val="auto"/>
          <w:sz w:val="24"/>
          <w:szCs w:val="24"/>
          <w:highlight w:val="none"/>
        </w:rPr>
      </w:pPr>
      <w:bookmarkStart w:id="1" w:name="_Toc31302"/>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bookmarkEnd w:id="1"/>
    </w:p>
    <w:p w14:paraId="20DFB6A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eastAsia="zh-CN"/>
        </w:rPr>
      </w:pPr>
      <w:bookmarkStart w:id="2" w:name="_Toc22963"/>
      <w:r>
        <w:rPr>
          <w:rFonts w:hint="eastAsia" w:ascii="仿宋" w:hAnsi="仿宋" w:eastAsia="仿宋" w:cs="仿宋"/>
          <w:bCs/>
          <w:color w:val="auto"/>
          <w:sz w:val="24"/>
          <w:szCs w:val="24"/>
          <w:highlight w:val="none"/>
          <w:lang w:eastAsia="zh-CN"/>
        </w:rPr>
        <w:t>合同签订后 7 日内，支付成交总价款的 20%作为预付款，按进度完成总工程量的50%支付30%资金，完成工程量的90%支付30%资金，竣工验收合格后成交供应商报送结算资料，结算资料经审定后支付至最终决算价款97%，剩余 3%作为质保金，在项目缺陷责任期满后 7 日内无息退还。</w:t>
      </w:r>
    </w:p>
    <w:p w14:paraId="65966176">
      <w:pPr>
        <w:autoSpaceDE w:val="0"/>
        <w:autoSpaceDN w:val="0"/>
        <w:adjustRightInd w:val="0"/>
        <w:spacing w:line="360" w:lineRule="auto"/>
        <w:ind w:firstLine="482" w:firstLineChars="200"/>
        <w:outlineLvl w:val="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bookmarkEnd w:id="2"/>
    </w:p>
    <w:p w14:paraId="44B1232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（三）缺陷责任期：1年。</w:t>
      </w:r>
    </w:p>
    <w:p w14:paraId="78C2BD8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 xml:space="preserve"> ；注册证号：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outlineLvl w:val="0"/>
        <w:rPr>
          <w:rFonts w:hint="eastAsia" w:ascii="仿宋" w:hAnsi="仿宋" w:eastAsia="仿宋" w:cs="仿宋"/>
          <w:b/>
          <w:color w:val="auto"/>
          <w:sz w:val="24"/>
          <w:szCs w:val="24"/>
          <w:highlight w:val="none"/>
          <w:lang w:val="zh-CN"/>
        </w:rPr>
      </w:pPr>
      <w:bookmarkStart w:id="3" w:name="_Toc17762"/>
      <w:r>
        <w:rPr>
          <w:rFonts w:hint="eastAsia" w:ascii="仿宋" w:hAnsi="仿宋" w:eastAsia="仿宋" w:cs="仿宋"/>
          <w:b/>
          <w:color w:val="auto"/>
          <w:sz w:val="24"/>
          <w:szCs w:val="24"/>
          <w:highlight w:val="none"/>
          <w:lang w:val="zh-CN"/>
        </w:rPr>
        <w:t>四、质量保证</w:t>
      </w:r>
      <w:bookmarkEnd w:id="3"/>
    </w:p>
    <w:p w14:paraId="5D19F2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pacing w:line="360" w:lineRule="auto"/>
        <w:ind w:firstLine="600" w:firstLineChars="249"/>
        <w:outlineLvl w:val="0"/>
        <w:rPr>
          <w:rFonts w:hint="eastAsia" w:ascii="仿宋" w:hAnsi="仿宋" w:eastAsia="仿宋" w:cs="仿宋"/>
          <w:b/>
          <w:color w:val="auto"/>
          <w:sz w:val="24"/>
          <w:szCs w:val="24"/>
          <w:highlight w:val="none"/>
        </w:rPr>
      </w:pPr>
      <w:bookmarkStart w:id="4" w:name="_Toc6814"/>
      <w:r>
        <w:rPr>
          <w:rFonts w:hint="eastAsia" w:ascii="仿宋" w:hAnsi="仿宋" w:eastAsia="仿宋" w:cs="仿宋"/>
          <w:b/>
          <w:color w:val="auto"/>
          <w:sz w:val="24"/>
          <w:szCs w:val="24"/>
          <w:highlight w:val="none"/>
        </w:rPr>
        <w:t>五、双方责任</w:t>
      </w:r>
      <w:bookmarkEnd w:id="4"/>
    </w:p>
    <w:p w14:paraId="5E0DD384">
      <w:pPr>
        <w:spacing w:line="360" w:lineRule="auto"/>
        <w:ind w:firstLine="480" w:firstLineChars="200"/>
        <w:outlineLvl w:val="1"/>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pacing w:line="360" w:lineRule="auto"/>
        <w:ind w:firstLine="480" w:firstLineChars="200"/>
        <w:jc w:val="left"/>
        <w:outlineLvl w:val="1"/>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pacing w:line="360" w:lineRule="auto"/>
        <w:ind w:firstLine="634" w:firstLineChars="263"/>
        <w:jc w:val="left"/>
        <w:textAlignment w:val="baseline"/>
        <w:outlineLvl w:val="0"/>
        <w:rPr>
          <w:rFonts w:hint="eastAsia" w:ascii="仿宋" w:hAnsi="仿宋" w:eastAsia="仿宋" w:cs="仿宋"/>
          <w:b/>
          <w:color w:val="auto"/>
          <w:sz w:val="24"/>
          <w:szCs w:val="24"/>
          <w:highlight w:val="none"/>
        </w:rPr>
      </w:pPr>
      <w:bookmarkStart w:id="5" w:name="_Toc28544"/>
      <w:r>
        <w:rPr>
          <w:rFonts w:hint="eastAsia" w:ascii="仿宋" w:hAnsi="仿宋" w:eastAsia="仿宋" w:cs="仿宋"/>
          <w:b/>
          <w:color w:val="auto"/>
          <w:sz w:val="24"/>
          <w:szCs w:val="24"/>
          <w:highlight w:val="none"/>
        </w:rPr>
        <w:t>六、组成合同的文件</w:t>
      </w:r>
      <w:bookmarkEnd w:id="5"/>
    </w:p>
    <w:p w14:paraId="7CC7C26E">
      <w:pPr>
        <w:spacing w:line="360" w:lineRule="auto"/>
        <w:ind w:firstLine="480" w:firstLineChars="200"/>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pacing w:line="360" w:lineRule="auto"/>
        <w:ind w:firstLine="480" w:firstLineChars="200"/>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autoSpaceDE w:val="0"/>
        <w:autoSpaceDN w:val="0"/>
        <w:adjustRightInd w:val="0"/>
        <w:spacing w:line="360" w:lineRule="auto"/>
        <w:ind w:firstLine="472" w:firstLineChars="196"/>
        <w:outlineLvl w:val="0"/>
        <w:rPr>
          <w:rFonts w:hint="eastAsia" w:ascii="仿宋" w:hAnsi="仿宋" w:eastAsia="仿宋" w:cs="仿宋"/>
          <w:b/>
          <w:color w:val="auto"/>
          <w:sz w:val="24"/>
          <w:szCs w:val="24"/>
          <w:highlight w:val="none"/>
          <w:lang w:val="zh-CN"/>
        </w:rPr>
      </w:pPr>
      <w:bookmarkStart w:id="6" w:name="_Toc23239"/>
      <w:r>
        <w:rPr>
          <w:rFonts w:hint="eastAsia" w:ascii="仿宋" w:hAnsi="仿宋" w:eastAsia="仿宋" w:cs="仿宋"/>
          <w:b/>
          <w:color w:val="auto"/>
          <w:sz w:val="24"/>
          <w:szCs w:val="24"/>
          <w:highlight w:val="none"/>
          <w:lang w:val="zh-CN"/>
        </w:rPr>
        <w:t>七、验收</w:t>
      </w:r>
      <w:bookmarkEnd w:id="6"/>
    </w:p>
    <w:p w14:paraId="4FCA3C1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pacing w:line="360" w:lineRule="auto"/>
        <w:ind w:firstLine="482" w:firstLineChars="200"/>
        <w:outlineLvl w:val="0"/>
        <w:rPr>
          <w:rFonts w:hint="eastAsia" w:ascii="仿宋" w:hAnsi="仿宋" w:eastAsia="仿宋" w:cs="仿宋"/>
          <w:b/>
          <w:color w:val="auto"/>
          <w:sz w:val="24"/>
          <w:szCs w:val="24"/>
          <w:highlight w:val="none"/>
        </w:rPr>
      </w:pPr>
      <w:bookmarkStart w:id="7" w:name="_Toc25627"/>
      <w:r>
        <w:rPr>
          <w:rFonts w:hint="eastAsia" w:ascii="仿宋" w:hAnsi="仿宋" w:eastAsia="仿宋" w:cs="仿宋"/>
          <w:b/>
          <w:color w:val="auto"/>
          <w:sz w:val="24"/>
          <w:szCs w:val="24"/>
          <w:highlight w:val="none"/>
        </w:rPr>
        <w:t>八、争议的解决方式</w:t>
      </w:r>
      <w:bookmarkEnd w:id="7"/>
    </w:p>
    <w:p w14:paraId="63BF54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pacing w:line="360" w:lineRule="auto"/>
        <w:ind w:firstLine="482" w:firstLineChars="200"/>
        <w:outlineLvl w:val="0"/>
        <w:rPr>
          <w:rFonts w:hint="eastAsia" w:ascii="仿宋" w:hAnsi="仿宋" w:eastAsia="仿宋" w:cs="仿宋"/>
          <w:b/>
          <w:color w:val="auto"/>
          <w:sz w:val="24"/>
          <w:szCs w:val="24"/>
          <w:highlight w:val="none"/>
        </w:rPr>
      </w:pPr>
      <w:bookmarkStart w:id="8" w:name="_Toc3033"/>
      <w:r>
        <w:rPr>
          <w:rFonts w:hint="eastAsia" w:ascii="仿宋" w:hAnsi="仿宋" w:eastAsia="仿宋" w:cs="仿宋"/>
          <w:b/>
          <w:color w:val="auto"/>
          <w:sz w:val="24"/>
          <w:szCs w:val="24"/>
          <w:highlight w:val="none"/>
        </w:rPr>
        <w:t>九、其他</w:t>
      </w:r>
      <w:bookmarkEnd w:id="8"/>
    </w:p>
    <w:p w14:paraId="04D13C2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pacing w:line="360" w:lineRule="auto"/>
        <w:ind w:firstLine="482" w:firstLineChars="200"/>
        <w:outlineLvl w:val="0"/>
        <w:rPr>
          <w:rFonts w:hint="eastAsia" w:ascii="仿宋" w:hAnsi="仿宋" w:eastAsia="仿宋" w:cs="仿宋"/>
          <w:b/>
          <w:color w:val="auto"/>
          <w:sz w:val="24"/>
          <w:szCs w:val="24"/>
          <w:highlight w:val="none"/>
        </w:rPr>
      </w:pPr>
      <w:bookmarkStart w:id="9" w:name="_Toc6625"/>
      <w:r>
        <w:rPr>
          <w:rFonts w:hint="eastAsia" w:ascii="仿宋" w:hAnsi="仿宋" w:eastAsia="仿宋" w:cs="仿宋"/>
          <w:b/>
          <w:color w:val="auto"/>
          <w:sz w:val="24"/>
          <w:szCs w:val="24"/>
          <w:highlight w:val="none"/>
        </w:rPr>
        <w:t>十、附则</w:t>
      </w:r>
      <w:bookmarkEnd w:id="9"/>
    </w:p>
    <w:p w14:paraId="2266E14F">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3"/>
        <w:rPr>
          <w:rFonts w:hint="eastAsia"/>
          <w:highlight w:val="none"/>
        </w:rPr>
      </w:pPr>
    </w:p>
    <w:p w14:paraId="2C85DDE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kinsoku/>
        <w:wordWrap/>
        <w:overflowPunct/>
        <w:topLinePunct w:val="0"/>
        <w:autoSpaceDE/>
        <w:autoSpaceDN/>
        <w:bidi w:val="0"/>
        <w:adjustRightInd/>
        <w:snapToGrid/>
        <w:spacing w:line="440" w:lineRule="exact"/>
        <w:textAlignment w:val="auto"/>
        <w:outlineLvl w:val="0"/>
        <w:rPr>
          <w:rFonts w:hint="eastAsia" w:ascii="仿宋" w:hAnsi="仿宋" w:eastAsia="仿宋" w:cs="仿宋"/>
          <w:color w:val="000000"/>
          <w:sz w:val="24"/>
          <w:szCs w:val="24"/>
          <w:highlight w:val="none"/>
        </w:rPr>
      </w:pPr>
      <w:bookmarkStart w:id="10" w:name="_Toc11950"/>
      <w:r>
        <w:rPr>
          <w:rFonts w:hint="eastAsia" w:ascii="仿宋" w:hAnsi="仿宋" w:eastAsia="仿宋" w:cs="仿宋"/>
          <w:color w:val="000000"/>
          <w:sz w:val="24"/>
          <w:szCs w:val="24"/>
          <w:highlight w:val="none"/>
        </w:rPr>
        <w:t>附</w:t>
      </w:r>
      <w:bookmarkStart w:id="11" w:name="_Toc296891054"/>
      <w:bookmarkStart w:id="12" w:name="_Toc296346727"/>
      <w:bookmarkStart w:id="13" w:name="_Toc267261693"/>
      <w:bookmarkStart w:id="14" w:name="_Toc296503226"/>
      <w:bookmarkStart w:id="15" w:name="_Toc296891266"/>
      <w:bookmarkStart w:id="16" w:name="_Toc296347225"/>
      <w:bookmarkStart w:id="17" w:name="_Toc296944565"/>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10"/>
      <w:bookmarkEnd w:id="11"/>
      <w:bookmarkEnd w:id="12"/>
      <w:bookmarkEnd w:id="13"/>
      <w:bookmarkEnd w:id="14"/>
      <w:bookmarkEnd w:id="15"/>
      <w:bookmarkEnd w:id="16"/>
      <w:bookmarkEnd w:id="17"/>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p>
    <w:p w14:paraId="16D62DBF">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本工程质量保修期为两年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76E816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kinsoku/>
        <w:wordWrap/>
        <w:overflowPunct/>
        <w:topLinePunct w:val="0"/>
        <w:autoSpaceDE/>
        <w:autoSpaceDN/>
        <w:bidi w:val="0"/>
        <w:adjustRightInd/>
        <w:snapToGrid/>
        <w:spacing w:line="360" w:lineRule="auto"/>
        <w:ind w:left="120"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kinsoku/>
        <w:wordWrap/>
        <w:overflowPunct/>
        <w:topLinePunct w:val="0"/>
        <w:autoSpaceDE/>
        <w:autoSpaceDN/>
        <w:bidi w:val="0"/>
        <w:adjustRightInd/>
        <w:snapToGrid/>
        <w:spacing w:line="360" w:lineRule="auto"/>
        <w:ind w:left="48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36ED787B">
      <w:pPr>
        <w:pStyle w:val="7"/>
        <w:rPr>
          <w:rFonts w:hint="eastAsia" w:ascii="宋体" w:hAnsi="宋体" w:eastAsia="宋体" w:cs="宋体"/>
          <w:lang w:val="en-US" w:eastAsia="zh-Hans"/>
        </w:rP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p>
    <w:p w14:paraId="0D8FA6B6">
      <w:bookmarkStart w:id="18" w:name="_GoBack"/>
      <w:bookmarkEnd w:id="1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83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ind w:firstLine="652" w:firstLineChars="233"/>
    </w:pPr>
    <w:rPr>
      <w:rFonts w:ascii="Times New Roman"/>
      <w:sz w:val="28"/>
    </w:rPr>
  </w:style>
  <w:style w:type="paragraph" w:styleId="3">
    <w:name w:val="Plain Text"/>
    <w:basedOn w:val="1"/>
    <w:qFormat/>
    <w:uiPriority w:val="99"/>
    <w:rPr>
      <w:rFonts w:ascii="宋体" w:hAnsi="Courier New" w:cs="宋体"/>
    </w:rPr>
  </w:style>
  <w:style w:type="paragraph" w:styleId="4">
    <w:name w:val="Body Text First Indent 2"/>
    <w:basedOn w:val="2"/>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2025-06-05T08:14:06Z</dcterms:created>
  <dc:creator>admin</dc:creator>
  <cp:lastModifiedBy>青筝</cp:lastModifiedBy>
  <dcterms:modified xsi:type="dcterms:W3CDTF">2025-06-05T08:14:39Z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eyJoZGlkIjoiYjBhNGVkMGYwNmMzMTI3MzZkY2RhZGM3NWUzOWFkNWEiLCJ1c2VySWQiOiIzNDIwNDE4ODUifQ==</vt:lpwstr>
  </property>
  <property fmtid="{D5CDD505-2E9C-101B-9397-08002B2CF9AE}" pid="4" name="ICV">
    <vt:lpwstr>3D2ABBDBB4E247D6AF3700C460A8996A_12</vt:lpwstr>
  </property>
</Properties>
</file>