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版本号：LZZB-202500720250605001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未央都市工业园机器人产业创新中心（机器人展厅）及户外展示提升项目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LZZB-2025007</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陕西霖舟项目管理有限公司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陕西霖舟项目管理有限公司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未央都市工业园机器人产业创新中心（机器人展厅）及户外展示提升项目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LZZB-2025007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未央都市工业园机器人产业创新中心（机器人展厅）及户外展示提升项目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未央都市工业园机器人产业创新中心（机器人展厅）及户外展示提升项目包含广告牌及基础工程、机器人展厅-装修工程、机器人展厅-电气工程、外立面改造工程、室外改造工程等建设内容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采购包1（未央都市工业园机器人产业创新中心（机器人展厅）及户外展示提升项目）：属于专门面向中小企业采购。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5、具有履行本合同所必需的设备和专业技术能力：提供具有履行本合同所必需的设备和专业技术能力的声明；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8、供应商资质：供应商须具有建设行政主管部门颁发的建筑工程施工总承包三级及以上资质，且具有合格有效的安全生产许可证；</w:t>
      </w:r>
    </w:p>
    <w:p>
      <w:pPr>
        <w:pStyle w:val="null3"/>
      </w:pPr>
      <w:r>
        <w:rPr>
          <w:rFonts w:ascii="仿宋_GB2312" w:hAnsi="仿宋_GB2312" w:cs="仿宋_GB2312" w:eastAsia="仿宋_GB2312"/>
        </w:rPr>
        <w:t>9、拟派项目负责人：拟派项目负责人须具备建筑工程专业二级及以上建造师注册证书，且具备有效的安全生产考核合格证书（B证），在本单位注册且无在建项目；</w:t>
      </w:r>
    </w:p>
    <w:p>
      <w:pPr>
        <w:pStyle w:val="null3"/>
      </w:pPr>
      <w:r>
        <w:rPr>
          <w:rFonts w:ascii="仿宋_GB2312" w:hAnsi="仿宋_GB2312" w:cs="仿宋_GB2312" w:eastAsia="仿宋_GB2312"/>
        </w:rPr>
        <w:t>10、信用信息：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11、本项目不接受联合体投标：本项目不接受联合体投标。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西安市未央区北三环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029-86528619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陕西霖舟项目管理有限公司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陕西省西安市未央区陕西省西安市未央区未央湖街办芸辉路佳隆庄园A01-4室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郭英丽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029-81718097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采购包1：2,791,989.39元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收费标准：参考国家发展计划委员会计价格[2002]1980号、发改办价格［2003］857号规定，依据发改价格[2015]299号文件规定标准计取该项目的招标代理服务费，经双方协商，由成交供应商支付招标代理服务费，发放成交通知书时一次性付清。 2、成交供应商在领取成交通知书前，须向采购代理机构一次性支付招标代理服务费。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陕西霖舟项目管理有限公司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陕西霖舟项目管理有限公司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陕西霖舟项目管理有限公司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联系人：郭英丽</w:t>
      </w:r>
    </w:p>
    <w:p>
      <w:pPr>
        <w:pStyle w:val="null3"/>
      </w:pPr>
      <w:r>
        <w:rPr>
          <w:rFonts w:ascii="仿宋_GB2312" w:hAnsi="仿宋_GB2312" w:cs="仿宋_GB2312" w:eastAsia="仿宋_GB2312"/>
        </w:rPr>
        <w:t>联系电话：029-81718097</w:t>
      </w:r>
    </w:p>
    <w:p>
      <w:pPr>
        <w:pStyle w:val="null3"/>
      </w:pPr>
      <w:r>
        <w:rPr>
          <w:rFonts w:ascii="仿宋_GB2312" w:hAnsi="仿宋_GB2312" w:cs="仿宋_GB2312" w:eastAsia="仿宋_GB2312"/>
        </w:rPr>
        <w:t>地址：西安市未央区徐家湾街道红旗路保利中达广场12楼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2,791,989.39</w:t>
      </w:r>
    </w:p>
    <w:p>
      <w:pPr>
        <w:pStyle w:val="null3"/>
      </w:pPr>
      <w:r>
        <w:rPr>
          <w:rFonts w:ascii="仿宋_GB2312" w:hAnsi="仿宋_GB2312" w:cs="仿宋_GB2312" w:eastAsia="仿宋_GB2312"/>
        </w:rPr>
        <w:t>采购包最高限价（元）: 2,791,989.39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未央都市工业园机器人产业创新中心（机器人展厅）及户外展示提升项目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2,791,989.39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标的名称：未央都市工业园机器人产业创新中心（机器人展厅）及户外展示提升项目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color w:val="000000"/>
              </w:rPr>
              <w:t>按国家及省市相关建设工程质量标准的规定，达到</w:t>
            </w:r>
            <w:r>
              <w:rPr>
                <w:rFonts w:ascii="仿宋_GB2312" w:hAnsi="仿宋_GB2312" w:cs="仿宋_GB2312" w:eastAsia="仿宋_GB2312"/>
                <w:sz w:val="20"/>
                <w:color w:val="000000"/>
              </w:rPr>
              <w:t>“合格”要求。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供应商报价不能超过采购预算、最高限价及以下分项限价：</w:t>
            </w:r>
          </w:p>
          <w:p>
            <w:pPr>
              <w:pStyle w:val="null3"/>
              <w:jc w:val="left"/>
            </w:pPr>
            <w:r>
              <w:rPr>
                <w:rFonts w:ascii="仿宋_GB2312" w:hAnsi="仿宋_GB2312" w:cs="仿宋_GB2312" w:eastAsia="仿宋_GB2312"/>
                <w:sz w:val="20"/>
                <w:color w:val="000000"/>
              </w:rPr>
              <w:t>一、广告牌及基础工程</w:t>
            </w:r>
          </w:p>
          <w:p>
            <w:pPr>
              <w:pStyle w:val="null3"/>
              <w:jc w:val="left"/>
            </w:pPr>
            <w:r>
              <w:rPr>
                <w:rFonts w:ascii="仿宋_GB2312" w:hAnsi="仿宋_GB2312" w:cs="仿宋_GB2312" w:eastAsia="仿宋_GB2312"/>
                <w:sz w:val="20"/>
                <w:color w:val="000000"/>
              </w:rPr>
              <w:t>1.分部分项合计 限价：117860.94元</w:t>
            </w:r>
          </w:p>
          <w:p>
            <w:pPr>
              <w:pStyle w:val="null3"/>
              <w:jc w:val="left"/>
            </w:pPr>
            <w:r>
              <w:rPr>
                <w:rFonts w:ascii="仿宋_GB2312" w:hAnsi="仿宋_GB2312" w:cs="仿宋_GB2312" w:eastAsia="仿宋_GB2312"/>
                <w:sz w:val="20"/>
                <w:color w:val="000000"/>
              </w:rPr>
              <w:t>2.措施项目 限价：6446.21元</w:t>
            </w:r>
          </w:p>
          <w:p>
            <w:pPr>
              <w:pStyle w:val="null3"/>
              <w:jc w:val="left"/>
            </w:pPr>
            <w:r>
              <w:rPr>
                <w:rFonts w:ascii="仿宋_GB2312" w:hAnsi="仿宋_GB2312" w:cs="仿宋_GB2312" w:eastAsia="仿宋_GB2312"/>
                <w:sz w:val="20"/>
                <w:color w:val="000000"/>
              </w:rPr>
              <w:t>3.规费 限价：5904.58元</w:t>
            </w:r>
          </w:p>
          <w:p>
            <w:pPr>
              <w:pStyle w:val="null3"/>
              <w:jc w:val="left"/>
            </w:pPr>
            <w:r>
              <w:rPr>
                <w:rFonts w:ascii="仿宋_GB2312" w:hAnsi="仿宋_GB2312" w:cs="仿宋_GB2312" w:eastAsia="仿宋_GB2312"/>
                <w:sz w:val="20"/>
                <w:color w:val="000000"/>
              </w:rPr>
              <w:t>4.安全文明施工费 限价：5082.30元</w:t>
            </w:r>
          </w:p>
          <w:p>
            <w:pPr>
              <w:pStyle w:val="null3"/>
              <w:jc w:val="left"/>
            </w:pPr>
            <w:r>
              <w:rPr>
                <w:rFonts w:ascii="仿宋_GB2312" w:hAnsi="仿宋_GB2312" w:cs="仿宋_GB2312" w:eastAsia="仿宋_GB2312"/>
                <w:sz w:val="20"/>
                <w:color w:val="000000"/>
              </w:rPr>
              <w:t>二、机器人展厅</w:t>
            </w:r>
            <w:r>
              <w:rPr>
                <w:rFonts w:ascii="仿宋_GB2312" w:hAnsi="仿宋_GB2312" w:cs="仿宋_GB2312" w:eastAsia="仿宋_GB2312"/>
                <w:sz w:val="20"/>
                <w:color w:val="000000"/>
              </w:rPr>
              <w:t>-装修工程</w:t>
            </w:r>
          </w:p>
          <w:p>
            <w:pPr>
              <w:pStyle w:val="null3"/>
              <w:jc w:val="left"/>
            </w:pPr>
            <w:r>
              <w:rPr>
                <w:rFonts w:ascii="仿宋_GB2312" w:hAnsi="仿宋_GB2312" w:cs="仿宋_GB2312" w:eastAsia="仿宋_GB2312"/>
                <w:sz w:val="20"/>
                <w:color w:val="000000"/>
              </w:rPr>
              <w:t>1.分部分项合计 限价：676202.01元</w:t>
            </w:r>
          </w:p>
          <w:p>
            <w:pPr>
              <w:pStyle w:val="null3"/>
              <w:jc w:val="left"/>
            </w:pPr>
            <w:r>
              <w:rPr>
                <w:rFonts w:ascii="仿宋_GB2312" w:hAnsi="仿宋_GB2312" w:cs="仿宋_GB2312" w:eastAsia="仿宋_GB2312"/>
                <w:sz w:val="20"/>
                <w:color w:val="000000"/>
              </w:rPr>
              <w:t>2.措施项目 限价：56987.84元</w:t>
            </w:r>
          </w:p>
          <w:p>
            <w:pPr>
              <w:pStyle w:val="null3"/>
              <w:jc w:val="left"/>
            </w:pPr>
            <w:r>
              <w:rPr>
                <w:rFonts w:ascii="仿宋_GB2312" w:hAnsi="仿宋_GB2312" w:cs="仿宋_GB2312" w:eastAsia="仿宋_GB2312"/>
                <w:sz w:val="20"/>
                <w:color w:val="000000"/>
              </w:rPr>
              <w:t>3.规费 限价：53826.51元</w:t>
            </w:r>
          </w:p>
          <w:p>
            <w:pPr>
              <w:pStyle w:val="null3"/>
              <w:jc w:val="left"/>
            </w:pPr>
            <w:r>
              <w:rPr>
                <w:rFonts w:ascii="仿宋_GB2312" w:hAnsi="仿宋_GB2312" w:cs="仿宋_GB2312" w:eastAsia="仿宋_GB2312"/>
                <w:sz w:val="20"/>
                <w:color w:val="000000"/>
              </w:rPr>
              <w:t>4.安全文明施工费 限价：45692.50元</w:t>
            </w:r>
          </w:p>
          <w:p>
            <w:pPr>
              <w:pStyle w:val="null3"/>
              <w:jc w:val="left"/>
            </w:pPr>
            <w:r>
              <w:rPr>
                <w:rFonts w:ascii="仿宋_GB2312" w:hAnsi="仿宋_GB2312" w:cs="仿宋_GB2312" w:eastAsia="仿宋_GB2312"/>
                <w:sz w:val="20"/>
                <w:color w:val="000000"/>
              </w:rPr>
              <w:t>三、机器人展厅</w:t>
            </w:r>
            <w:r>
              <w:rPr>
                <w:rFonts w:ascii="仿宋_GB2312" w:hAnsi="仿宋_GB2312" w:cs="仿宋_GB2312" w:eastAsia="仿宋_GB2312"/>
                <w:sz w:val="20"/>
                <w:color w:val="000000"/>
              </w:rPr>
              <w:t>-电气工程</w:t>
            </w:r>
          </w:p>
          <w:p>
            <w:pPr>
              <w:pStyle w:val="null3"/>
              <w:jc w:val="left"/>
            </w:pPr>
            <w:r>
              <w:rPr>
                <w:rFonts w:ascii="仿宋_GB2312" w:hAnsi="仿宋_GB2312" w:cs="仿宋_GB2312" w:eastAsia="仿宋_GB2312"/>
                <w:sz w:val="20"/>
                <w:color w:val="000000"/>
              </w:rPr>
              <w:t>1.分部分项合计 限价：129079.29元</w:t>
            </w:r>
          </w:p>
          <w:p>
            <w:pPr>
              <w:pStyle w:val="null3"/>
              <w:jc w:val="left"/>
            </w:pPr>
            <w:r>
              <w:rPr>
                <w:rFonts w:ascii="仿宋_GB2312" w:hAnsi="仿宋_GB2312" w:cs="仿宋_GB2312" w:eastAsia="仿宋_GB2312"/>
                <w:sz w:val="20"/>
                <w:color w:val="000000"/>
              </w:rPr>
              <w:t>2.措施项目 限价：8224.66元</w:t>
            </w:r>
          </w:p>
          <w:p>
            <w:pPr>
              <w:pStyle w:val="null3"/>
              <w:jc w:val="left"/>
            </w:pPr>
            <w:r>
              <w:rPr>
                <w:rFonts w:ascii="仿宋_GB2312" w:hAnsi="仿宋_GB2312" w:cs="仿宋_GB2312" w:eastAsia="仿宋_GB2312"/>
                <w:sz w:val="20"/>
                <w:color w:val="000000"/>
              </w:rPr>
              <w:t>3.规费 限价：6521.94元</w:t>
            </w:r>
          </w:p>
          <w:p>
            <w:pPr>
              <w:pStyle w:val="null3"/>
              <w:jc w:val="left"/>
            </w:pPr>
            <w:r>
              <w:rPr>
                <w:rFonts w:ascii="仿宋_GB2312" w:hAnsi="仿宋_GB2312" w:cs="仿宋_GB2312" w:eastAsia="仿宋_GB2312"/>
                <w:sz w:val="20"/>
                <w:color w:val="000000"/>
              </w:rPr>
              <w:t>4.安全文明施工费 限价：5534.33元</w:t>
            </w:r>
          </w:p>
          <w:p>
            <w:pPr>
              <w:pStyle w:val="null3"/>
              <w:jc w:val="left"/>
            </w:pPr>
            <w:r>
              <w:rPr>
                <w:rFonts w:ascii="仿宋_GB2312" w:hAnsi="仿宋_GB2312" w:cs="仿宋_GB2312" w:eastAsia="仿宋_GB2312"/>
                <w:sz w:val="20"/>
                <w:color w:val="000000"/>
              </w:rPr>
              <w:t>四、外立面改造工程</w:t>
            </w:r>
          </w:p>
          <w:p>
            <w:pPr>
              <w:pStyle w:val="null3"/>
              <w:jc w:val="left"/>
            </w:pPr>
            <w:r>
              <w:rPr>
                <w:rFonts w:ascii="仿宋_GB2312" w:hAnsi="仿宋_GB2312" w:cs="仿宋_GB2312" w:eastAsia="仿宋_GB2312"/>
                <w:sz w:val="20"/>
                <w:color w:val="000000"/>
              </w:rPr>
              <w:t>1.分部分项合计 限价：767494.05元</w:t>
            </w:r>
          </w:p>
          <w:p>
            <w:pPr>
              <w:pStyle w:val="null3"/>
              <w:jc w:val="left"/>
            </w:pPr>
            <w:r>
              <w:rPr>
                <w:rFonts w:ascii="仿宋_GB2312" w:hAnsi="仿宋_GB2312" w:cs="仿宋_GB2312" w:eastAsia="仿宋_GB2312"/>
                <w:sz w:val="20"/>
                <w:color w:val="000000"/>
              </w:rPr>
              <w:t>2.措施项目 限价：91378.16元</w:t>
            </w:r>
          </w:p>
          <w:p>
            <w:pPr>
              <w:pStyle w:val="null3"/>
              <w:jc w:val="left"/>
            </w:pPr>
            <w:r>
              <w:rPr>
                <w:rFonts w:ascii="仿宋_GB2312" w:hAnsi="仿宋_GB2312" w:cs="仿宋_GB2312" w:eastAsia="仿宋_GB2312"/>
                <w:sz w:val="20"/>
                <w:color w:val="000000"/>
              </w:rPr>
              <w:t>3.规费 限价：40796.43元</w:t>
            </w:r>
          </w:p>
          <w:p>
            <w:pPr>
              <w:pStyle w:val="null3"/>
              <w:jc w:val="left"/>
            </w:pPr>
            <w:r>
              <w:rPr>
                <w:rFonts w:ascii="仿宋_GB2312" w:hAnsi="仿宋_GB2312" w:cs="仿宋_GB2312" w:eastAsia="仿宋_GB2312"/>
                <w:sz w:val="20"/>
                <w:color w:val="000000"/>
              </w:rPr>
              <w:t>4.安全文明施工费 限价：34897.87元</w:t>
            </w:r>
          </w:p>
          <w:p>
            <w:pPr>
              <w:pStyle w:val="null3"/>
              <w:jc w:val="left"/>
            </w:pPr>
            <w:r>
              <w:rPr>
                <w:rFonts w:ascii="仿宋_GB2312" w:hAnsi="仿宋_GB2312" w:cs="仿宋_GB2312" w:eastAsia="仿宋_GB2312"/>
                <w:sz w:val="20"/>
                <w:color w:val="000000"/>
              </w:rPr>
              <w:t>五、室外改造工程</w:t>
            </w:r>
          </w:p>
          <w:p>
            <w:pPr>
              <w:pStyle w:val="null3"/>
              <w:jc w:val="left"/>
            </w:pPr>
            <w:r>
              <w:rPr>
                <w:rFonts w:ascii="仿宋_GB2312" w:hAnsi="仿宋_GB2312" w:cs="仿宋_GB2312" w:eastAsia="仿宋_GB2312"/>
                <w:sz w:val="20"/>
                <w:color w:val="000000"/>
              </w:rPr>
              <w:t>1.分部分项合计 限价：328889.17元</w:t>
            </w:r>
          </w:p>
          <w:p>
            <w:pPr>
              <w:pStyle w:val="null3"/>
              <w:jc w:val="left"/>
            </w:pPr>
            <w:r>
              <w:rPr>
                <w:rFonts w:ascii="仿宋_GB2312" w:hAnsi="仿宋_GB2312" w:cs="仿宋_GB2312" w:eastAsia="仿宋_GB2312"/>
                <w:sz w:val="20"/>
                <w:color w:val="000000"/>
              </w:rPr>
              <w:t>2.措施项目 限价：61188.27元</w:t>
            </w:r>
          </w:p>
          <w:p>
            <w:pPr>
              <w:pStyle w:val="null3"/>
              <w:jc w:val="left"/>
            </w:pPr>
            <w:r>
              <w:rPr>
                <w:rFonts w:ascii="仿宋_GB2312" w:hAnsi="仿宋_GB2312" w:cs="仿宋_GB2312" w:eastAsia="仿宋_GB2312"/>
                <w:sz w:val="20"/>
                <w:color w:val="000000"/>
              </w:rPr>
              <w:t>3.规费 限价：22803.68元</w:t>
            </w:r>
          </w:p>
          <w:p>
            <w:pPr>
              <w:pStyle w:val="null3"/>
              <w:jc w:val="both"/>
            </w:pPr>
            <w:r>
              <w:rPr>
                <w:rFonts w:ascii="仿宋_GB2312" w:hAnsi="仿宋_GB2312" w:cs="仿宋_GB2312" w:eastAsia="仿宋_GB2312"/>
                <w:sz w:val="20"/>
                <w:color w:val="000000"/>
              </w:rPr>
              <w:t>4.安全文明施工费 限价：20201.21元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一、项目概况： 1、项目名称：未央都市工业园机器人产业创新中心（机器人展厅）及户外展示提升项目 2、质量标准：合格 3、工期：自进场之日起60个日历日内竣工 4、建设地点：西安市未央区北三环东邻草滩八路，南邻一干路、西邻华夏石材城、北邻华夏石材城。 5、建设概况：广告牌及基础工程、机器人展厅-装修工程、机器人展厅-电气工程、外立面改造工程、室外改造工程等建设内容。 二、工程量清单：（另附） 三、编制说明 （1）项目概况： 1、工程名称：未央都市工业园机器人产业创新中心（机器人展厅）及户外展示提升项目； 2、建设地点：西安市未央区北三环东邻草滩八路，南邻一干路、西邻华夏石材城、北邻华夏石材城； 3、工作内容：广告牌及基础工程、机器人展厅-装修工程、机器人展厅-电气工程、外立面改造工程、室外改造工程等建设内容。 （2）编制依据： 1、《陕西省建设工程工程量清单计价规则（2009）》； 2、《陕西省建设工程工程量清单计价费率（2009）》及其配套文件； 3、《陕西省建筑、装饰工程消耗量定额（2004）》、《陕西省安装工程消耗量定额（2004）》、《陕西省建筑、装饰工程价目表（2009）》、《陕西省安装工程价目表（2009）》； 4、设计图纸及技术规范等；5、采用广联达GCCP6.0（版本：6.4100.23.122）编制。6、其他说明 6.1、暂列金额：按9.00万元计入本次预算。6.2、大屏投影沙盘及系统工程暂估价：按40.00万元计入本次预算。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供应商须具有建设行政主管部门颁发的建筑工程施工总承包三级及以上资质，且具有合格有效的安全生产许可证；</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拟派项目负责人须具备建筑工程专业二级及以上建造师注册证书，且具备有效的安全生产考核合格证书（B证），在本单位注册且无在建项目；</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对该项目实施的重点、难点进行分析，对易发生质量通病、易出现安全问题、施工难度大、技术含量高的部分进行说明并给出施工保障措施和专项技术方案（含主要施工方法、组织措施、检验手段等），方案详细有针对性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2分，方案缺漏项或只有标题没有实质性内容的扣8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施工进度计划的安排及确保工期的技术措施</w:t>
            </w:r>
          </w:p>
        </w:tc>
        <w:tc>
          <w:tcPr>
            <w:tcW w:type="dxa" w:w="2492"/>
          </w:tcPr>
          <w:p>
            <w:pPr>
              <w:pStyle w:val="null3"/>
            </w:pPr>
            <w:r>
              <w:rPr>
                <w:rFonts w:ascii="仿宋_GB2312" w:hAnsi="仿宋_GB2312" w:cs="仿宋_GB2312" w:eastAsia="仿宋_GB2312"/>
              </w:rPr>
              <w:t>评审内容：①施工进度计划安排②确保工期的技术措施 评审标准：内容与项目进度目标及工期关键节点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确保工程质量的组织措施</w:t>
            </w:r>
          </w:p>
        </w:tc>
        <w:tc>
          <w:tcPr>
            <w:tcW w:type="dxa" w:w="2492"/>
          </w:tcPr>
          <w:p>
            <w:pPr>
              <w:pStyle w:val="null3"/>
            </w:pPr>
            <w:r>
              <w:rPr>
                <w:rFonts w:ascii="仿宋_GB2312" w:hAnsi="仿宋_GB2312" w:cs="仿宋_GB2312" w:eastAsia="仿宋_GB2312"/>
              </w:rPr>
              <w:t>评审内容：工程质量保证措施 评审标准：针对本项目制定切实可行的总体质量控制目标，且对质量控制目标进行合理分解、规划，确保本项目质量标准符合相关标准，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评审内容：施工应急预案 评审标准：针对本项目制定切实可行的人工、 材料、设备的组织方案、给出有针对性的施工应急预案。 内容合理、 方案具体可行、完全符合要求得4分；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评审标准：结合工程环境、特点分析安全隐患，给出有针对性的安全生产、文明施工、环保施工等保证措施。 安全文明、环保保证体系组织措施和控制点设置合理，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项目管理机构及项目部组成</w:t>
            </w:r>
          </w:p>
        </w:tc>
        <w:tc>
          <w:tcPr>
            <w:tcW w:type="dxa" w:w="2492"/>
          </w:tcPr>
          <w:p>
            <w:pPr>
              <w:pStyle w:val="null3"/>
            </w:pPr>
            <w:r>
              <w:rPr>
                <w:rFonts w:ascii="仿宋_GB2312" w:hAnsi="仿宋_GB2312" w:cs="仿宋_GB2312" w:eastAsia="仿宋_GB2312"/>
              </w:rPr>
              <w:t>评审内容：①项目管理机构②项目部组成 评审标准：项目管理机构及项目部组成人员岗位完整，专业种类齐全，搭配合理，职位分明、有相应的技术能力，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评审内容：①劳动力计划②主要材料供应计划 评审标准：针对本项目提供详细的劳动力和材料投入计划及其保证措施，内容与要点相符、每个要点均有展开详细的阐述且能够适用于本项目的得4分；方案不完善或有缺陷（不 完善或有缺陷是指：方案粗略、逻辑混乱、描述过于简单、与项目特点不匹配、凭空编造、逻辑漏洞、 出现常识性错误、套用其他项目方案、存在不可能实现的夸大情形、存在不适用项目实际情况的情形）评审内容每项出现以上任一情形扣1分，方案缺漏项或只有标题没有实质性内容的扣2分，扣完为止。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评审内容：施工机械设备配备计划 评审标准：针对本项目提供满足项目施工需要，与项目施工进度相适应的机械设备投入计划。方案详细有针对性得4分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 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评审内容:现场施工扬尘环境治理管理措施 评审标准：针对本项目提供符合本项目实际要求的现场施工扬尘环境治理管理措施。 现场扬尘管理措施合理 、有详尽的扬尘控制措施并可达到国家控制的标准得4分；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评审内容:新技术、新产品、新工艺、新材料应用 评审标准:针对本项目提出新技术、新产品、新工艺、新材料应用，并提供采用新技术、新产品、新工艺、 新材料对工程质量安全、缩短工期、降低成本的措施。 方案合理、详尽、满足项目需要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评审内容：①供应商提供的保修服务承诺，②优化建议等方面的承诺措施 评审标准：提供的保修服务承诺及优化建议等方面的承诺措施其中包括工程保修期内的定期回访方案及维修方案，内容与要点相符、每个要点均有展开详细的阐述且能够适用于本项目的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具有2022年1月至今同类项目业绩，每提供一个得2分，最高得4分。业绩证明（以合同或中标/成交通 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1、经初审合格的磋商响应文件，其磋商报价为有效投标价 2、满足磋商文件实质性要求且最后报价最低的供应商的价格为磋商基准价，其价格分为满分40分。 3、其他供应商的价格分统一按照下列公式计算： 磋商报价得分=（磋商基准价/有效最终磋商报价）×40。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